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EC" w:rsidRDefault="007206EC" w:rsidP="006250A7">
      <w:pPr>
        <w:jc w:val="right"/>
        <w:rPr>
          <w:rFonts w:ascii="Arial" w:hAnsi="Arial" w:cs="Arial"/>
          <w:lang w:val="en-US"/>
        </w:rPr>
      </w:pPr>
      <w:r w:rsidRPr="00522415">
        <w:rPr>
          <w:b/>
          <w:noProof/>
          <w:sz w:val="20"/>
          <w:szCs w:val="20"/>
          <w:lang w:eastAsia="zh-CN"/>
        </w:rPr>
        <w:drawing>
          <wp:inline distT="0" distB="0" distL="0" distR="0" wp14:anchorId="537ACCAC" wp14:editId="290AC70A">
            <wp:extent cx="2238375" cy="638175"/>
            <wp:effectExtent l="0" t="0" r="9525" b="9525"/>
            <wp:docPr id="1" name="Рисунок 1" descr="Логотип для бланков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для бланков 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p>
    <w:p w:rsidR="006250A7" w:rsidRPr="00A27CC2" w:rsidRDefault="007206EC" w:rsidP="006250A7">
      <w:pPr>
        <w:jc w:val="right"/>
        <w:rPr>
          <w:rFonts w:ascii="Calibri" w:hAnsi="Calibri" w:cs="Calibri"/>
          <w:sz w:val="22"/>
          <w:szCs w:val="22"/>
          <w:lang w:val="en-US"/>
        </w:rPr>
      </w:pPr>
      <w:r w:rsidRPr="00A27CC2">
        <w:rPr>
          <w:rFonts w:ascii="Calibri" w:hAnsi="Calibri" w:cs="Calibri"/>
          <w:sz w:val="22"/>
          <w:szCs w:val="22"/>
          <w:lang w:val="en-US"/>
        </w:rPr>
        <w:t>Application form/Appendix</w:t>
      </w:r>
      <w:r w:rsidRPr="00A27CC2">
        <w:rPr>
          <w:rFonts w:ascii="Calibri" w:hAnsi="Calibri" w:cs="Calibri"/>
          <w:iCs/>
          <w:sz w:val="22"/>
          <w:szCs w:val="22"/>
          <w:lang w:val="en-US"/>
        </w:rPr>
        <w:t xml:space="preserve"> </w:t>
      </w:r>
      <w:r w:rsidR="009A210C">
        <w:rPr>
          <w:rFonts w:ascii="Calibri" w:hAnsi="Calibri" w:cs="Calibri"/>
          <w:sz w:val="22"/>
          <w:szCs w:val="22"/>
          <w:lang w:val="en-US"/>
        </w:rPr>
        <w:t>No. 4</w:t>
      </w:r>
    </w:p>
    <w:p w:rsidR="006250A7" w:rsidRPr="00A27CC2" w:rsidRDefault="006250A7" w:rsidP="006250A7">
      <w:pPr>
        <w:jc w:val="right"/>
        <w:rPr>
          <w:rFonts w:ascii="Calibri" w:hAnsi="Calibri" w:cs="Calibri"/>
          <w:sz w:val="22"/>
          <w:szCs w:val="22"/>
          <w:lang w:val="en-US"/>
        </w:rPr>
      </w:pPr>
      <w:proofErr w:type="gramStart"/>
      <w:r w:rsidRPr="00A27CC2">
        <w:rPr>
          <w:rFonts w:ascii="Calibri" w:hAnsi="Calibri" w:cs="Calibri"/>
          <w:sz w:val="22"/>
          <w:szCs w:val="22"/>
          <w:lang w:val="en-US"/>
        </w:rPr>
        <w:t>to</w:t>
      </w:r>
      <w:proofErr w:type="gramEnd"/>
      <w:r w:rsidRPr="00A27CC2">
        <w:rPr>
          <w:rFonts w:ascii="Calibri" w:hAnsi="Calibri" w:cs="Calibri"/>
          <w:sz w:val="22"/>
          <w:szCs w:val="22"/>
          <w:lang w:val="en-US"/>
        </w:rPr>
        <w:t xml:space="preserve"> the Contract</w:t>
      </w:r>
      <w:r w:rsidR="001F72B0" w:rsidRPr="001F72B0">
        <w:rPr>
          <w:rFonts w:ascii="Calibri" w:hAnsi="Calibri" w:cs="Calibri"/>
          <w:sz w:val="22"/>
          <w:szCs w:val="22"/>
          <w:lang w:val="en-US"/>
        </w:rPr>
        <w:t xml:space="preserve"> </w:t>
      </w:r>
      <w:r w:rsidRPr="00A27CC2">
        <w:rPr>
          <w:rFonts w:ascii="Calibri" w:hAnsi="Calibri" w:cs="Calibri"/>
          <w:sz w:val="22"/>
          <w:szCs w:val="22"/>
          <w:lang w:val="en-US"/>
        </w:rPr>
        <w:t xml:space="preserve"> for participation in the exhibition </w:t>
      </w:r>
      <w:r w:rsidR="00EE63DB" w:rsidRPr="00EE63DB">
        <w:rPr>
          <w:rFonts w:ascii="Calibri" w:hAnsi="Calibri" w:cs="Calibri"/>
          <w:sz w:val="22"/>
          <w:szCs w:val="22"/>
          <w:lang w:val="en-US"/>
        </w:rPr>
        <w:t>«</w:t>
      </w:r>
      <w:proofErr w:type="spellStart"/>
      <w:r w:rsidRPr="00A27CC2">
        <w:rPr>
          <w:rFonts w:ascii="Calibri" w:hAnsi="Calibri" w:cs="Calibri"/>
          <w:sz w:val="22"/>
          <w:szCs w:val="22"/>
          <w:lang w:val="en-US"/>
        </w:rPr>
        <w:t>ParkZoo</w:t>
      </w:r>
      <w:proofErr w:type="spellEnd"/>
      <w:r w:rsidR="00A27CC2" w:rsidRPr="00A27CC2">
        <w:rPr>
          <w:rFonts w:ascii="Calibri" w:hAnsi="Calibri" w:cs="Calibri"/>
          <w:sz w:val="22"/>
          <w:szCs w:val="22"/>
          <w:lang w:val="en-US"/>
        </w:rPr>
        <w:t xml:space="preserve"> </w:t>
      </w:r>
      <w:r w:rsidR="00FF0AE1">
        <w:rPr>
          <w:rFonts w:ascii="Calibri" w:hAnsi="Calibri" w:cs="Calibri"/>
          <w:sz w:val="22"/>
          <w:szCs w:val="22"/>
          <w:lang w:val="en-US"/>
        </w:rPr>
        <w:t>2024</w:t>
      </w:r>
      <w:r w:rsidRPr="00A27CC2">
        <w:rPr>
          <w:rFonts w:ascii="Calibri" w:hAnsi="Calibri" w:cs="Calibri"/>
          <w:sz w:val="22"/>
          <w:szCs w:val="22"/>
          <w:lang w:val="en-US"/>
        </w:rPr>
        <w:t xml:space="preserve"> No.</w:t>
      </w:r>
      <w:r w:rsidR="00EE63DB" w:rsidRPr="00EE63DB">
        <w:rPr>
          <w:rFonts w:ascii="Calibri" w:hAnsi="Calibri" w:cs="Calibri"/>
          <w:sz w:val="22"/>
          <w:szCs w:val="22"/>
          <w:lang w:val="en-US"/>
        </w:rPr>
        <w:t>______</w:t>
      </w:r>
      <w:r w:rsidRPr="00A27CC2">
        <w:rPr>
          <w:rFonts w:ascii="Calibri" w:hAnsi="Calibri" w:cs="Calibri"/>
          <w:sz w:val="22"/>
          <w:szCs w:val="22"/>
          <w:lang w:val="en-US"/>
        </w:rPr>
        <w:t xml:space="preserve"> from "</w:t>
      </w:r>
      <w:r w:rsidR="00EE63DB" w:rsidRPr="00EE63DB">
        <w:rPr>
          <w:rFonts w:ascii="Calibri" w:hAnsi="Calibri" w:cs="Calibri"/>
          <w:sz w:val="22"/>
          <w:szCs w:val="22"/>
          <w:lang w:val="en-US"/>
        </w:rPr>
        <w:t>____</w:t>
      </w:r>
      <w:r w:rsidRPr="00A27CC2">
        <w:rPr>
          <w:rFonts w:ascii="Calibri" w:hAnsi="Calibri" w:cs="Calibri"/>
          <w:sz w:val="22"/>
          <w:szCs w:val="22"/>
          <w:lang w:val="en-US"/>
        </w:rPr>
        <w:t xml:space="preserve"> " _________20</w:t>
      </w:r>
      <w:r w:rsidR="00EE63DB" w:rsidRPr="00EE63DB">
        <w:rPr>
          <w:rFonts w:ascii="Calibri" w:hAnsi="Calibri" w:cs="Calibri"/>
          <w:sz w:val="22"/>
          <w:szCs w:val="22"/>
          <w:lang w:val="en-US"/>
        </w:rPr>
        <w:t>2</w:t>
      </w:r>
      <w:r w:rsidRPr="00A27CC2">
        <w:rPr>
          <w:rFonts w:ascii="Calibri" w:hAnsi="Calibri" w:cs="Calibri"/>
          <w:sz w:val="22"/>
          <w:szCs w:val="22"/>
          <w:lang w:val="en-US"/>
        </w:rPr>
        <w:t xml:space="preserve">__ .   </w:t>
      </w:r>
    </w:p>
    <w:p w:rsidR="006250A7" w:rsidRPr="0023225F" w:rsidRDefault="009A210C" w:rsidP="00DB31EA">
      <w:pPr>
        <w:jc w:val="center"/>
        <w:rPr>
          <w:rFonts w:asciiTheme="minorHAnsi" w:hAnsiTheme="minorHAnsi" w:cstheme="minorHAnsi"/>
          <w:b/>
          <w:sz w:val="22"/>
          <w:szCs w:val="22"/>
          <w:lang w:val="en-US"/>
        </w:rPr>
      </w:pPr>
      <w:r w:rsidRPr="009A210C">
        <w:rPr>
          <w:rFonts w:asciiTheme="minorHAnsi" w:hAnsiTheme="minorHAnsi" w:cstheme="minorHAnsi"/>
          <w:b/>
          <w:sz w:val="22"/>
          <w:szCs w:val="22"/>
          <w:lang w:val="en-US"/>
        </w:rPr>
        <w:t>APPLICATION FOR ELECTRICAL CONNECTION AND SUSPENDED STRUCTURES FOR UNEQUIPPED STANDS</w:t>
      </w:r>
    </w:p>
    <w:p w:rsidR="006250A7" w:rsidRPr="0023225F" w:rsidRDefault="006250A7" w:rsidP="00DB31EA">
      <w:pPr>
        <w:jc w:val="center"/>
        <w:rPr>
          <w:rFonts w:asciiTheme="minorHAnsi" w:hAnsiTheme="minorHAnsi" w:cstheme="minorHAnsi"/>
          <w:sz w:val="22"/>
          <w:szCs w:val="22"/>
          <w:lang w:val="en-US"/>
        </w:rPr>
      </w:pPr>
      <w:r w:rsidRPr="0023225F">
        <w:rPr>
          <w:rFonts w:asciiTheme="minorHAnsi" w:hAnsiTheme="minorHAnsi" w:cstheme="minorHAnsi"/>
          <w:sz w:val="22"/>
          <w:szCs w:val="22"/>
          <w:lang w:val="en-US"/>
        </w:rPr>
        <w:t>Exhibitor_____________________________</w:t>
      </w:r>
      <w:r w:rsidR="00DB31EA" w:rsidRPr="0023225F">
        <w:rPr>
          <w:rFonts w:asciiTheme="minorHAnsi" w:hAnsiTheme="minorHAnsi" w:cstheme="minorHAnsi"/>
          <w:sz w:val="22"/>
          <w:szCs w:val="22"/>
          <w:lang w:val="en-US"/>
        </w:rPr>
        <w:t xml:space="preserve">________ Responsible person </w:t>
      </w:r>
      <w:r w:rsidRPr="0023225F">
        <w:rPr>
          <w:rFonts w:asciiTheme="minorHAnsi" w:hAnsiTheme="minorHAnsi" w:cstheme="minorHAnsi"/>
          <w:sz w:val="22"/>
          <w:szCs w:val="22"/>
          <w:lang w:val="en-US"/>
        </w:rPr>
        <w:t>____________________________________________</w:t>
      </w:r>
    </w:p>
    <w:p w:rsidR="006250A7" w:rsidRDefault="006250A7" w:rsidP="00DB31EA">
      <w:pPr>
        <w:jc w:val="center"/>
        <w:rPr>
          <w:rFonts w:asciiTheme="minorHAnsi" w:hAnsiTheme="minorHAnsi" w:cstheme="minorHAnsi"/>
          <w:sz w:val="22"/>
          <w:szCs w:val="22"/>
          <w:lang w:val="en-US"/>
        </w:rPr>
      </w:pPr>
      <w:r w:rsidRPr="0023225F">
        <w:rPr>
          <w:rFonts w:asciiTheme="minorHAnsi" w:hAnsiTheme="minorHAnsi" w:cstheme="minorHAnsi"/>
          <w:sz w:val="22"/>
          <w:szCs w:val="22"/>
          <w:lang w:val="en-US"/>
        </w:rPr>
        <w:t>Phone number _____________________________________________E-mail ____________________________________________________</w:t>
      </w:r>
    </w:p>
    <w:p w:rsidR="009A210C" w:rsidRDefault="009A210C" w:rsidP="00DB31EA">
      <w:pPr>
        <w:jc w:val="center"/>
        <w:rPr>
          <w:rFonts w:asciiTheme="minorHAnsi" w:hAnsiTheme="minorHAnsi" w:cstheme="minorHAnsi"/>
          <w:sz w:val="22"/>
          <w:szCs w:val="22"/>
          <w:lang w:val="en-US"/>
        </w:rPr>
      </w:pPr>
    </w:p>
    <w:p w:rsidR="00FF0AE1" w:rsidRPr="00FF0AE1" w:rsidRDefault="00FF0AE1" w:rsidP="00FF0AE1">
      <w:pPr>
        <w:pStyle w:val="228bf8a64b8551e1msonormal"/>
        <w:spacing w:before="0" w:beforeAutospacing="0" w:after="0" w:afterAutospacing="0"/>
        <w:rPr>
          <w:b/>
          <w:bCs/>
          <w:i/>
          <w:iCs/>
          <w:color w:val="000000" w:themeColor="text1"/>
        </w:rPr>
      </w:pPr>
      <w:r w:rsidRPr="00FF0AE1">
        <w:rPr>
          <w:b/>
          <w:bCs/>
          <w:i/>
          <w:iCs/>
          <w:color w:val="000000" w:themeColor="text1"/>
        </w:rPr>
        <w:t>The application will be accepted no later than August 1, 2024.</w:t>
      </w:r>
    </w:p>
    <w:p w:rsidR="006250A7" w:rsidRPr="00FF0AE1" w:rsidRDefault="00FF0AE1" w:rsidP="00FF0AE1">
      <w:pPr>
        <w:pStyle w:val="228bf8a64b8551e1msonormal"/>
        <w:spacing w:before="0" w:beforeAutospacing="0" w:after="0" w:afterAutospacing="0"/>
        <w:rPr>
          <w:b/>
          <w:bCs/>
          <w:i/>
          <w:iCs/>
          <w:color w:val="000000" w:themeColor="text1"/>
        </w:rPr>
      </w:pPr>
      <w:r w:rsidRPr="00FF0AE1">
        <w:rPr>
          <w:b/>
          <w:bCs/>
          <w:i/>
          <w:iCs/>
          <w:color w:val="000000" w:themeColor="text1"/>
        </w:rPr>
        <w:t>If the application deadline is not met, a 50-100% surcharge will be applied to the cost of services.</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819"/>
        <w:gridCol w:w="1275"/>
        <w:gridCol w:w="1134"/>
        <w:gridCol w:w="1134"/>
        <w:gridCol w:w="1276"/>
        <w:gridCol w:w="1134"/>
        <w:gridCol w:w="927"/>
        <w:gridCol w:w="993"/>
      </w:tblGrid>
      <w:tr w:rsidR="009A210C" w:rsidRPr="00FF0AE1" w:rsidTr="008D6CC1">
        <w:trPr>
          <w:gridAfter w:val="1"/>
          <w:wAfter w:w="993" w:type="dxa"/>
          <w:trHeight w:val="255"/>
        </w:trPr>
        <w:tc>
          <w:tcPr>
            <w:tcW w:w="552" w:type="dxa"/>
            <w:vMerge w:val="restart"/>
            <w:vAlign w:val="center"/>
            <w:hideMark/>
          </w:tcPr>
          <w:p w:rsidR="009A210C" w:rsidRPr="00FF0AE1" w:rsidRDefault="009A210C">
            <w:pPr>
              <w:widowControl/>
              <w:suppressAutoHyphens w:val="0"/>
              <w:spacing w:line="256" w:lineRule="auto"/>
              <w:jc w:val="center"/>
              <w:rPr>
                <w:rFonts w:eastAsia="Times New Roman"/>
                <w:b/>
                <w:bCs/>
                <w:kern w:val="0"/>
                <w:sz w:val="20"/>
                <w:szCs w:val="20"/>
              </w:rPr>
            </w:pPr>
            <w:proofErr w:type="spellStart"/>
            <w:r w:rsidRPr="00FF0AE1">
              <w:rPr>
                <w:b/>
                <w:bCs/>
                <w:sz w:val="20"/>
                <w:szCs w:val="20"/>
              </w:rPr>
              <w:t>No</w:t>
            </w:r>
            <w:proofErr w:type="spellEnd"/>
            <w:r w:rsidRPr="00FF0AE1">
              <w:rPr>
                <w:b/>
                <w:bCs/>
                <w:sz w:val="20"/>
                <w:szCs w:val="20"/>
              </w:rPr>
              <w:t>.</w:t>
            </w:r>
          </w:p>
        </w:tc>
        <w:tc>
          <w:tcPr>
            <w:tcW w:w="6819" w:type="dxa"/>
            <w:vMerge w:val="restart"/>
            <w:noWrap/>
            <w:vAlign w:val="center"/>
            <w:hideMark/>
          </w:tcPr>
          <w:p w:rsidR="009A210C" w:rsidRPr="00FF0AE1" w:rsidRDefault="009A210C">
            <w:pPr>
              <w:spacing w:line="256" w:lineRule="auto"/>
              <w:jc w:val="center"/>
              <w:rPr>
                <w:b/>
                <w:bCs/>
                <w:sz w:val="20"/>
                <w:szCs w:val="20"/>
              </w:rPr>
            </w:pPr>
            <w:proofErr w:type="spellStart"/>
            <w:r w:rsidRPr="00FF0AE1">
              <w:rPr>
                <w:b/>
                <w:bCs/>
                <w:sz w:val="20"/>
                <w:szCs w:val="20"/>
              </w:rPr>
              <w:t>The</w:t>
            </w:r>
            <w:proofErr w:type="spellEnd"/>
            <w:r w:rsidRPr="00FF0AE1">
              <w:rPr>
                <w:b/>
                <w:bCs/>
                <w:sz w:val="20"/>
                <w:szCs w:val="20"/>
              </w:rPr>
              <w:t xml:space="preserve"> </w:t>
            </w:r>
            <w:proofErr w:type="spellStart"/>
            <w:r w:rsidRPr="00FF0AE1">
              <w:rPr>
                <w:b/>
                <w:bCs/>
                <w:sz w:val="20"/>
                <w:szCs w:val="20"/>
              </w:rPr>
              <w:t>Name</w:t>
            </w:r>
            <w:proofErr w:type="spellEnd"/>
          </w:p>
        </w:tc>
        <w:tc>
          <w:tcPr>
            <w:tcW w:w="1275" w:type="dxa"/>
            <w:noWrap/>
            <w:vAlign w:val="center"/>
            <w:hideMark/>
          </w:tcPr>
          <w:p w:rsidR="009A210C" w:rsidRPr="00FF0AE1" w:rsidRDefault="009A210C">
            <w:pPr>
              <w:spacing w:line="256" w:lineRule="auto"/>
              <w:jc w:val="center"/>
              <w:rPr>
                <w:b/>
                <w:bCs/>
                <w:sz w:val="20"/>
                <w:szCs w:val="20"/>
              </w:rPr>
            </w:pPr>
            <w:proofErr w:type="spellStart"/>
            <w:r w:rsidRPr="00FF0AE1">
              <w:rPr>
                <w:b/>
                <w:bCs/>
                <w:sz w:val="20"/>
                <w:szCs w:val="20"/>
              </w:rPr>
              <w:t>Price</w:t>
            </w:r>
            <w:proofErr w:type="spellEnd"/>
          </w:p>
        </w:tc>
        <w:tc>
          <w:tcPr>
            <w:tcW w:w="1134" w:type="dxa"/>
          </w:tcPr>
          <w:p w:rsidR="009A210C" w:rsidRPr="00FF0AE1" w:rsidRDefault="009A210C" w:rsidP="00A96977">
            <w:pPr>
              <w:spacing w:line="256" w:lineRule="auto"/>
              <w:jc w:val="center"/>
              <w:rPr>
                <w:b/>
                <w:bCs/>
                <w:sz w:val="20"/>
                <w:szCs w:val="20"/>
                <w:lang w:val="en-US"/>
              </w:rPr>
            </w:pPr>
            <w:r w:rsidRPr="00FF0AE1">
              <w:rPr>
                <w:b/>
                <w:bCs/>
                <w:sz w:val="20"/>
                <w:szCs w:val="20"/>
                <w:lang w:val="en-US"/>
              </w:rPr>
              <w:t>Price</w:t>
            </w:r>
          </w:p>
        </w:tc>
        <w:tc>
          <w:tcPr>
            <w:tcW w:w="1134" w:type="dxa"/>
          </w:tcPr>
          <w:p w:rsidR="009A210C" w:rsidRPr="00FF0AE1" w:rsidRDefault="009A210C">
            <w:pPr>
              <w:spacing w:line="256" w:lineRule="auto"/>
              <w:jc w:val="center"/>
              <w:rPr>
                <w:b/>
                <w:bCs/>
                <w:sz w:val="20"/>
                <w:szCs w:val="20"/>
                <w:lang w:val="en-US"/>
              </w:rPr>
            </w:pPr>
            <w:r w:rsidRPr="00FF0AE1">
              <w:rPr>
                <w:b/>
                <w:bCs/>
                <w:sz w:val="20"/>
                <w:szCs w:val="20"/>
                <w:lang w:val="en-US"/>
              </w:rPr>
              <w:t>Price</w:t>
            </w:r>
          </w:p>
        </w:tc>
        <w:tc>
          <w:tcPr>
            <w:tcW w:w="1276" w:type="dxa"/>
          </w:tcPr>
          <w:p w:rsidR="009A210C" w:rsidRPr="00FF0AE1" w:rsidRDefault="009A210C" w:rsidP="008D6CC1">
            <w:pPr>
              <w:spacing w:line="256" w:lineRule="auto"/>
              <w:jc w:val="center"/>
              <w:rPr>
                <w:b/>
                <w:bCs/>
                <w:sz w:val="20"/>
                <w:szCs w:val="20"/>
                <w:lang w:val="en-US"/>
              </w:rPr>
            </w:pPr>
            <w:r w:rsidRPr="00FF0AE1">
              <w:rPr>
                <w:b/>
                <w:bCs/>
                <w:sz w:val="20"/>
                <w:szCs w:val="20"/>
                <w:lang w:val="en-US"/>
              </w:rPr>
              <w:t>Price</w:t>
            </w:r>
          </w:p>
        </w:tc>
        <w:tc>
          <w:tcPr>
            <w:tcW w:w="1134" w:type="dxa"/>
            <w:vMerge w:val="restart"/>
          </w:tcPr>
          <w:p w:rsidR="009A210C" w:rsidRPr="00FF0AE1" w:rsidRDefault="009A210C">
            <w:pPr>
              <w:spacing w:line="256" w:lineRule="auto"/>
              <w:jc w:val="center"/>
              <w:rPr>
                <w:b/>
                <w:bCs/>
                <w:sz w:val="20"/>
                <w:szCs w:val="20"/>
                <w:lang w:val="en-US"/>
              </w:rPr>
            </w:pPr>
            <w:r w:rsidRPr="00FF0AE1">
              <w:rPr>
                <w:b/>
                <w:bCs/>
                <w:sz w:val="20"/>
                <w:szCs w:val="20"/>
                <w:lang w:val="en-US"/>
              </w:rPr>
              <w:t>Quantity</w:t>
            </w:r>
          </w:p>
        </w:tc>
        <w:tc>
          <w:tcPr>
            <w:tcW w:w="927" w:type="dxa"/>
            <w:vMerge w:val="restart"/>
          </w:tcPr>
          <w:p w:rsidR="009A210C" w:rsidRPr="00FF0AE1" w:rsidRDefault="009A210C" w:rsidP="004F7293">
            <w:pPr>
              <w:spacing w:line="256" w:lineRule="auto"/>
              <w:jc w:val="center"/>
              <w:rPr>
                <w:b/>
                <w:bCs/>
                <w:sz w:val="20"/>
                <w:szCs w:val="20"/>
                <w:lang w:val="en-US"/>
              </w:rPr>
            </w:pPr>
            <w:r w:rsidRPr="00FF0AE1">
              <w:rPr>
                <w:b/>
                <w:bCs/>
                <w:sz w:val="20"/>
                <w:szCs w:val="20"/>
                <w:lang w:val="en-US"/>
              </w:rPr>
              <w:t>Price</w:t>
            </w:r>
          </w:p>
        </w:tc>
      </w:tr>
      <w:tr w:rsidR="009A210C" w:rsidRPr="00FF0AE1" w:rsidTr="008D6CC1">
        <w:trPr>
          <w:gridAfter w:val="1"/>
          <w:wAfter w:w="993" w:type="dxa"/>
          <w:trHeight w:val="255"/>
        </w:trPr>
        <w:tc>
          <w:tcPr>
            <w:tcW w:w="552" w:type="dxa"/>
            <w:vMerge/>
            <w:vAlign w:val="center"/>
            <w:hideMark/>
          </w:tcPr>
          <w:p w:rsidR="009A210C" w:rsidRPr="00FF0AE1" w:rsidRDefault="009A210C">
            <w:pPr>
              <w:widowControl/>
              <w:suppressAutoHyphens w:val="0"/>
              <w:spacing w:line="256" w:lineRule="auto"/>
              <w:rPr>
                <w:rFonts w:eastAsia="Times New Roman"/>
                <w:b/>
                <w:bCs/>
                <w:kern w:val="0"/>
                <w:sz w:val="20"/>
                <w:szCs w:val="20"/>
              </w:rPr>
            </w:pPr>
          </w:p>
        </w:tc>
        <w:tc>
          <w:tcPr>
            <w:tcW w:w="6819" w:type="dxa"/>
            <w:vMerge/>
            <w:vAlign w:val="center"/>
            <w:hideMark/>
          </w:tcPr>
          <w:p w:rsidR="009A210C" w:rsidRPr="00FF0AE1" w:rsidRDefault="009A210C">
            <w:pPr>
              <w:widowControl/>
              <w:suppressAutoHyphens w:val="0"/>
              <w:spacing w:line="256" w:lineRule="auto"/>
              <w:rPr>
                <w:b/>
                <w:bCs/>
                <w:sz w:val="20"/>
                <w:szCs w:val="20"/>
              </w:rPr>
            </w:pPr>
          </w:p>
        </w:tc>
        <w:tc>
          <w:tcPr>
            <w:tcW w:w="1275" w:type="dxa"/>
            <w:noWrap/>
            <w:vAlign w:val="center"/>
            <w:hideMark/>
          </w:tcPr>
          <w:p w:rsidR="009A210C" w:rsidRPr="00FF0AE1" w:rsidRDefault="009A210C">
            <w:pPr>
              <w:spacing w:line="256" w:lineRule="auto"/>
              <w:jc w:val="center"/>
              <w:rPr>
                <w:b/>
                <w:bCs/>
                <w:sz w:val="20"/>
                <w:szCs w:val="20"/>
              </w:rPr>
            </w:pPr>
            <w:proofErr w:type="spellStart"/>
            <w:r w:rsidRPr="00FF0AE1">
              <w:rPr>
                <w:b/>
                <w:bCs/>
                <w:sz w:val="20"/>
                <w:szCs w:val="20"/>
              </w:rPr>
              <w:t>for</w:t>
            </w:r>
            <w:proofErr w:type="spellEnd"/>
            <w:r w:rsidRPr="00FF0AE1">
              <w:rPr>
                <w:b/>
                <w:bCs/>
                <w:sz w:val="20"/>
                <w:szCs w:val="20"/>
              </w:rPr>
              <w:t xml:space="preserve"> 1 </w:t>
            </w:r>
            <w:proofErr w:type="spellStart"/>
            <w:r w:rsidRPr="00FF0AE1">
              <w:rPr>
                <w:b/>
                <w:bCs/>
                <w:sz w:val="20"/>
                <w:szCs w:val="20"/>
              </w:rPr>
              <w:t>pcs</w:t>
            </w:r>
            <w:proofErr w:type="spellEnd"/>
            <w:r w:rsidRPr="00FF0AE1">
              <w:rPr>
                <w:b/>
                <w:bCs/>
                <w:sz w:val="20"/>
                <w:szCs w:val="20"/>
              </w:rPr>
              <w:t>,</w:t>
            </w:r>
          </w:p>
        </w:tc>
        <w:tc>
          <w:tcPr>
            <w:tcW w:w="1134" w:type="dxa"/>
          </w:tcPr>
          <w:p w:rsidR="009A210C" w:rsidRPr="00FF0AE1" w:rsidRDefault="009A210C">
            <w:pPr>
              <w:spacing w:line="256" w:lineRule="auto"/>
              <w:jc w:val="center"/>
              <w:rPr>
                <w:b/>
                <w:bCs/>
                <w:sz w:val="20"/>
                <w:szCs w:val="20"/>
                <w:lang w:val="en-US"/>
              </w:rPr>
            </w:pPr>
            <w:r w:rsidRPr="00FF0AE1">
              <w:rPr>
                <w:b/>
                <w:bCs/>
                <w:sz w:val="20"/>
                <w:szCs w:val="20"/>
                <w:lang w:val="en-US"/>
              </w:rPr>
              <w:t>For 1pcs</w:t>
            </w:r>
          </w:p>
        </w:tc>
        <w:tc>
          <w:tcPr>
            <w:tcW w:w="1134" w:type="dxa"/>
          </w:tcPr>
          <w:p w:rsidR="009A210C" w:rsidRPr="00FF0AE1" w:rsidRDefault="009A210C">
            <w:pPr>
              <w:spacing w:line="256" w:lineRule="auto"/>
              <w:jc w:val="center"/>
              <w:rPr>
                <w:b/>
                <w:bCs/>
                <w:sz w:val="20"/>
                <w:szCs w:val="20"/>
                <w:lang w:val="en-US"/>
              </w:rPr>
            </w:pPr>
            <w:r w:rsidRPr="00FF0AE1">
              <w:rPr>
                <w:b/>
                <w:bCs/>
                <w:sz w:val="20"/>
                <w:szCs w:val="20"/>
                <w:lang w:val="en-US"/>
              </w:rPr>
              <w:t>For 1pcs</w:t>
            </w:r>
          </w:p>
        </w:tc>
        <w:tc>
          <w:tcPr>
            <w:tcW w:w="1276" w:type="dxa"/>
          </w:tcPr>
          <w:p w:rsidR="009A210C" w:rsidRPr="00FF0AE1" w:rsidRDefault="009A210C" w:rsidP="008D6CC1">
            <w:pPr>
              <w:spacing w:line="256" w:lineRule="auto"/>
              <w:jc w:val="center"/>
              <w:rPr>
                <w:b/>
                <w:bCs/>
                <w:sz w:val="20"/>
                <w:szCs w:val="20"/>
                <w:lang w:val="en-US"/>
              </w:rPr>
            </w:pPr>
            <w:r w:rsidRPr="00FF0AE1">
              <w:rPr>
                <w:b/>
                <w:bCs/>
                <w:sz w:val="20"/>
                <w:szCs w:val="20"/>
                <w:lang w:val="en-US"/>
              </w:rPr>
              <w:t>For 1pcs</w:t>
            </w:r>
          </w:p>
        </w:tc>
        <w:tc>
          <w:tcPr>
            <w:tcW w:w="1134" w:type="dxa"/>
            <w:vMerge/>
          </w:tcPr>
          <w:p w:rsidR="009A210C" w:rsidRPr="00FF0AE1" w:rsidRDefault="009A210C">
            <w:pPr>
              <w:spacing w:line="256" w:lineRule="auto"/>
              <w:jc w:val="center"/>
              <w:rPr>
                <w:b/>
                <w:bCs/>
                <w:sz w:val="20"/>
                <w:szCs w:val="20"/>
              </w:rPr>
            </w:pPr>
          </w:p>
        </w:tc>
        <w:tc>
          <w:tcPr>
            <w:tcW w:w="927" w:type="dxa"/>
            <w:vMerge/>
          </w:tcPr>
          <w:p w:rsidR="009A210C" w:rsidRPr="00FF0AE1" w:rsidRDefault="009A210C">
            <w:pPr>
              <w:spacing w:line="256" w:lineRule="auto"/>
              <w:jc w:val="center"/>
              <w:rPr>
                <w:b/>
                <w:bCs/>
                <w:sz w:val="20"/>
                <w:szCs w:val="20"/>
              </w:rPr>
            </w:pPr>
          </w:p>
        </w:tc>
      </w:tr>
      <w:tr w:rsidR="009A210C" w:rsidRPr="00FF0AE1" w:rsidTr="008D6CC1">
        <w:trPr>
          <w:gridAfter w:val="1"/>
          <w:wAfter w:w="993" w:type="dxa"/>
          <w:trHeight w:val="255"/>
        </w:trPr>
        <w:tc>
          <w:tcPr>
            <w:tcW w:w="552" w:type="dxa"/>
            <w:vMerge/>
            <w:vAlign w:val="center"/>
            <w:hideMark/>
          </w:tcPr>
          <w:p w:rsidR="009A210C" w:rsidRPr="00FF0AE1" w:rsidRDefault="009A210C">
            <w:pPr>
              <w:widowControl/>
              <w:suppressAutoHyphens w:val="0"/>
              <w:spacing w:line="256" w:lineRule="auto"/>
              <w:rPr>
                <w:rFonts w:eastAsia="Times New Roman"/>
                <w:b/>
                <w:bCs/>
                <w:kern w:val="0"/>
                <w:sz w:val="20"/>
                <w:szCs w:val="20"/>
              </w:rPr>
            </w:pPr>
          </w:p>
        </w:tc>
        <w:tc>
          <w:tcPr>
            <w:tcW w:w="6819" w:type="dxa"/>
            <w:vMerge/>
            <w:vAlign w:val="center"/>
            <w:hideMark/>
          </w:tcPr>
          <w:p w:rsidR="009A210C" w:rsidRPr="00FF0AE1" w:rsidRDefault="009A210C">
            <w:pPr>
              <w:widowControl/>
              <w:suppressAutoHyphens w:val="0"/>
              <w:spacing w:line="256" w:lineRule="auto"/>
              <w:rPr>
                <w:b/>
                <w:bCs/>
                <w:sz w:val="20"/>
                <w:szCs w:val="20"/>
              </w:rPr>
            </w:pPr>
          </w:p>
        </w:tc>
        <w:tc>
          <w:tcPr>
            <w:tcW w:w="1275" w:type="dxa"/>
            <w:noWrap/>
            <w:vAlign w:val="center"/>
            <w:hideMark/>
          </w:tcPr>
          <w:p w:rsidR="009A210C" w:rsidRPr="00FF0AE1" w:rsidRDefault="009A210C">
            <w:pPr>
              <w:spacing w:line="256" w:lineRule="auto"/>
              <w:jc w:val="center"/>
              <w:rPr>
                <w:b/>
                <w:bCs/>
                <w:sz w:val="20"/>
                <w:szCs w:val="20"/>
              </w:rPr>
            </w:pPr>
            <w:r w:rsidRPr="00FF0AE1">
              <w:rPr>
                <w:b/>
                <w:bCs/>
                <w:sz w:val="20"/>
                <w:szCs w:val="20"/>
                <w:lang w:val="en-US"/>
              </w:rPr>
              <w:t>RUB</w:t>
            </w:r>
            <w:r w:rsidRPr="00FF0AE1">
              <w:rPr>
                <w:b/>
                <w:bCs/>
                <w:sz w:val="20"/>
                <w:szCs w:val="20"/>
              </w:rPr>
              <w:t>.</w:t>
            </w:r>
          </w:p>
        </w:tc>
        <w:tc>
          <w:tcPr>
            <w:tcW w:w="1134" w:type="dxa"/>
          </w:tcPr>
          <w:p w:rsidR="009A210C" w:rsidRPr="00FF0AE1" w:rsidRDefault="009A210C">
            <w:pPr>
              <w:spacing w:line="256" w:lineRule="auto"/>
              <w:jc w:val="center"/>
              <w:rPr>
                <w:b/>
                <w:bCs/>
                <w:sz w:val="20"/>
                <w:szCs w:val="20"/>
                <w:lang w:val="en-US"/>
              </w:rPr>
            </w:pPr>
            <w:r w:rsidRPr="00FF0AE1">
              <w:rPr>
                <w:b/>
                <w:bCs/>
                <w:sz w:val="20"/>
                <w:szCs w:val="20"/>
                <w:lang w:val="en-US"/>
              </w:rPr>
              <w:t>Dollars</w:t>
            </w:r>
          </w:p>
        </w:tc>
        <w:tc>
          <w:tcPr>
            <w:tcW w:w="1134" w:type="dxa"/>
          </w:tcPr>
          <w:p w:rsidR="009A210C" w:rsidRPr="00FF0AE1" w:rsidRDefault="009A210C">
            <w:pPr>
              <w:spacing w:line="256" w:lineRule="auto"/>
              <w:jc w:val="center"/>
              <w:rPr>
                <w:b/>
                <w:bCs/>
                <w:sz w:val="20"/>
                <w:szCs w:val="20"/>
                <w:lang w:val="en-US"/>
              </w:rPr>
            </w:pPr>
            <w:r w:rsidRPr="00FF0AE1">
              <w:rPr>
                <w:b/>
                <w:bCs/>
                <w:sz w:val="20"/>
                <w:szCs w:val="20"/>
                <w:lang w:val="en-US"/>
              </w:rPr>
              <w:t>Euro</w:t>
            </w:r>
          </w:p>
        </w:tc>
        <w:tc>
          <w:tcPr>
            <w:tcW w:w="1276" w:type="dxa"/>
          </w:tcPr>
          <w:p w:rsidR="009A210C" w:rsidRPr="00FF0AE1" w:rsidRDefault="009A210C" w:rsidP="008D6CC1">
            <w:pPr>
              <w:spacing w:line="256" w:lineRule="auto"/>
              <w:jc w:val="center"/>
              <w:rPr>
                <w:b/>
                <w:bCs/>
                <w:sz w:val="20"/>
                <w:szCs w:val="20"/>
                <w:lang w:val="en-US"/>
              </w:rPr>
            </w:pPr>
            <w:r w:rsidRPr="00FF0AE1">
              <w:rPr>
                <w:b/>
                <w:bCs/>
                <w:sz w:val="20"/>
                <w:szCs w:val="20"/>
                <w:lang w:val="en-US"/>
              </w:rPr>
              <w:t>CNY</w:t>
            </w:r>
          </w:p>
        </w:tc>
        <w:tc>
          <w:tcPr>
            <w:tcW w:w="1134" w:type="dxa"/>
            <w:vMerge/>
          </w:tcPr>
          <w:p w:rsidR="009A210C" w:rsidRPr="00FF0AE1" w:rsidRDefault="009A210C">
            <w:pPr>
              <w:spacing w:line="256" w:lineRule="auto"/>
              <w:jc w:val="center"/>
              <w:rPr>
                <w:b/>
                <w:bCs/>
                <w:sz w:val="20"/>
                <w:szCs w:val="20"/>
              </w:rPr>
            </w:pPr>
          </w:p>
        </w:tc>
        <w:tc>
          <w:tcPr>
            <w:tcW w:w="927" w:type="dxa"/>
            <w:vMerge/>
          </w:tcPr>
          <w:p w:rsidR="009A210C" w:rsidRPr="00FF0AE1" w:rsidRDefault="009A210C">
            <w:pPr>
              <w:spacing w:line="256" w:lineRule="auto"/>
              <w:jc w:val="center"/>
              <w:rPr>
                <w:b/>
                <w:bCs/>
                <w:sz w:val="20"/>
                <w:szCs w:val="20"/>
              </w:rPr>
            </w:pPr>
          </w:p>
        </w:tc>
      </w:tr>
      <w:tr w:rsidR="009A210C" w:rsidRPr="00FF0AE1" w:rsidTr="008D6CC1">
        <w:trPr>
          <w:gridAfter w:val="1"/>
          <w:wAfter w:w="993" w:type="dxa"/>
          <w:trHeight w:val="255"/>
        </w:trPr>
        <w:tc>
          <w:tcPr>
            <w:tcW w:w="552" w:type="dxa"/>
            <w:vMerge/>
            <w:vAlign w:val="center"/>
            <w:hideMark/>
          </w:tcPr>
          <w:p w:rsidR="009A210C" w:rsidRPr="00FF0AE1" w:rsidRDefault="009A210C">
            <w:pPr>
              <w:widowControl/>
              <w:suppressAutoHyphens w:val="0"/>
              <w:spacing w:line="256" w:lineRule="auto"/>
              <w:rPr>
                <w:rFonts w:eastAsia="Times New Roman"/>
                <w:b/>
                <w:bCs/>
                <w:kern w:val="0"/>
                <w:sz w:val="20"/>
                <w:szCs w:val="20"/>
              </w:rPr>
            </w:pPr>
          </w:p>
        </w:tc>
        <w:tc>
          <w:tcPr>
            <w:tcW w:w="6819" w:type="dxa"/>
            <w:vMerge/>
            <w:vAlign w:val="center"/>
            <w:hideMark/>
          </w:tcPr>
          <w:p w:rsidR="009A210C" w:rsidRPr="00FF0AE1" w:rsidRDefault="009A210C">
            <w:pPr>
              <w:widowControl/>
              <w:suppressAutoHyphens w:val="0"/>
              <w:spacing w:line="256" w:lineRule="auto"/>
              <w:rPr>
                <w:b/>
                <w:bCs/>
                <w:sz w:val="20"/>
                <w:szCs w:val="20"/>
              </w:rPr>
            </w:pPr>
          </w:p>
        </w:tc>
        <w:tc>
          <w:tcPr>
            <w:tcW w:w="1275" w:type="dxa"/>
            <w:noWrap/>
            <w:vAlign w:val="center"/>
            <w:hideMark/>
          </w:tcPr>
          <w:p w:rsidR="009A210C" w:rsidRPr="00FF0AE1" w:rsidRDefault="009A210C" w:rsidP="008D6CC1">
            <w:pPr>
              <w:spacing w:line="256" w:lineRule="auto"/>
              <w:rPr>
                <w:b/>
                <w:bCs/>
                <w:sz w:val="20"/>
                <w:szCs w:val="20"/>
              </w:rPr>
            </w:pPr>
            <w:proofErr w:type="gramStart"/>
            <w:r w:rsidRPr="00FF0AE1">
              <w:rPr>
                <w:b/>
                <w:bCs/>
                <w:sz w:val="20"/>
                <w:szCs w:val="20"/>
              </w:rPr>
              <w:t>(</w:t>
            </w:r>
            <w:proofErr w:type="spellStart"/>
            <w:r w:rsidRPr="00FF0AE1">
              <w:rPr>
                <w:b/>
                <w:bCs/>
                <w:sz w:val="20"/>
                <w:szCs w:val="20"/>
              </w:rPr>
              <w:t>incl</w:t>
            </w:r>
            <w:proofErr w:type="spellEnd"/>
            <w:r w:rsidRPr="00FF0AE1">
              <w:rPr>
                <w:b/>
                <w:bCs/>
                <w:sz w:val="20"/>
                <w:szCs w:val="20"/>
              </w:rPr>
              <w:t>.</w:t>
            </w:r>
            <w:proofErr w:type="gramEnd"/>
            <w:r w:rsidRPr="00FF0AE1">
              <w:rPr>
                <w:b/>
                <w:bCs/>
                <w:sz w:val="20"/>
                <w:szCs w:val="20"/>
              </w:rPr>
              <w:t xml:space="preserve"> </w:t>
            </w:r>
            <w:proofErr w:type="gramStart"/>
            <w:r w:rsidRPr="00FF0AE1">
              <w:rPr>
                <w:b/>
                <w:bCs/>
                <w:sz w:val="20"/>
                <w:szCs w:val="20"/>
              </w:rPr>
              <w:t>VAT)</w:t>
            </w:r>
            <w:proofErr w:type="gramEnd"/>
          </w:p>
        </w:tc>
        <w:tc>
          <w:tcPr>
            <w:tcW w:w="1134" w:type="dxa"/>
          </w:tcPr>
          <w:p w:rsidR="009A210C" w:rsidRPr="00FF0AE1" w:rsidRDefault="009A210C" w:rsidP="008D6CC1">
            <w:pPr>
              <w:spacing w:line="256" w:lineRule="auto"/>
              <w:rPr>
                <w:b/>
                <w:bCs/>
                <w:sz w:val="20"/>
                <w:szCs w:val="20"/>
                <w:lang w:val="en-US"/>
              </w:rPr>
            </w:pPr>
            <w:r w:rsidRPr="00FF0AE1">
              <w:rPr>
                <w:b/>
                <w:bCs/>
                <w:sz w:val="20"/>
                <w:szCs w:val="20"/>
                <w:lang w:val="en-US"/>
              </w:rPr>
              <w:t>(</w:t>
            </w:r>
            <w:proofErr w:type="spellStart"/>
            <w:r w:rsidRPr="00FF0AE1">
              <w:rPr>
                <w:b/>
                <w:bCs/>
                <w:sz w:val="20"/>
                <w:szCs w:val="20"/>
                <w:lang w:val="en-US"/>
              </w:rPr>
              <w:t>incl</w:t>
            </w:r>
            <w:proofErr w:type="spellEnd"/>
            <w:r w:rsidRPr="00FF0AE1">
              <w:rPr>
                <w:b/>
                <w:bCs/>
                <w:sz w:val="20"/>
                <w:szCs w:val="20"/>
                <w:lang w:val="en-US"/>
              </w:rPr>
              <w:t xml:space="preserve"> VAT)</w:t>
            </w:r>
          </w:p>
        </w:tc>
        <w:tc>
          <w:tcPr>
            <w:tcW w:w="1134" w:type="dxa"/>
          </w:tcPr>
          <w:p w:rsidR="009A210C" w:rsidRPr="00FF0AE1" w:rsidRDefault="009A210C" w:rsidP="008D6CC1">
            <w:pPr>
              <w:spacing w:line="256" w:lineRule="auto"/>
              <w:rPr>
                <w:b/>
                <w:bCs/>
                <w:sz w:val="20"/>
                <w:szCs w:val="20"/>
                <w:lang w:val="en-US"/>
              </w:rPr>
            </w:pPr>
            <w:r w:rsidRPr="00FF0AE1">
              <w:rPr>
                <w:b/>
                <w:bCs/>
                <w:sz w:val="20"/>
                <w:szCs w:val="20"/>
                <w:lang w:val="en-US"/>
              </w:rPr>
              <w:t>(incl. VAT)</w:t>
            </w:r>
          </w:p>
        </w:tc>
        <w:tc>
          <w:tcPr>
            <w:tcW w:w="1276" w:type="dxa"/>
          </w:tcPr>
          <w:p w:rsidR="009A210C" w:rsidRPr="00FF0AE1" w:rsidRDefault="009A210C" w:rsidP="008D6CC1">
            <w:pPr>
              <w:spacing w:line="256" w:lineRule="auto"/>
              <w:jc w:val="center"/>
              <w:rPr>
                <w:b/>
                <w:bCs/>
                <w:sz w:val="20"/>
                <w:szCs w:val="20"/>
                <w:lang w:val="en-US"/>
              </w:rPr>
            </w:pPr>
            <w:r w:rsidRPr="00FF0AE1">
              <w:rPr>
                <w:b/>
                <w:bCs/>
                <w:sz w:val="20"/>
                <w:szCs w:val="20"/>
                <w:lang w:val="en-US"/>
              </w:rPr>
              <w:t>(incl. VAT)</w:t>
            </w:r>
          </w:p>
        </w:tc>
        <w:tc>
          <w:tcPr>
            <w:tcW w:w="1134" w:type="dxa"/>
            <w:vMerge/>
          </w:tcPr>
          <w:p w:rsidR="009A210C" w:rsidRPr="00FF0AE1" w:rsidRDefault="009A210C">
            <w:pPr>
              <w:spacing w:line="256" w:lineRule="auto"/>
              <w:jc w:val="center"/>
              <w:rPr>
                <w:b/>
                <w:bCs/>
                <w:sz w:val="20"/>
                <w:szCs w:val="20"/>
                <w:lang w:val="en-US"/>
              </w:rPr>
            </w:pPr>
          </w:p>
        </w:tc>
        <w:tc>
          <w:tcPr>
            <w:tcW w:w="927" w:type="dxa"/>
            <w:vMerge/>
          </w:tcPr>
          <w:p w:rsidR="009A210C" w:rsidRPr="00FF0AE1" w:rsidRDefault="009A210C">
            <w:pPr>
              <w:spacing w:line="256" w:lineRule="auto"/>
              <w:jc w:val="center"/>
              <w:rPr>
                <w:b/>
                <w:bCs/>
                <w:sz w:val="20"/>
                <w:szCs w:val="20"/>
                <w:lang w:val="en-US"/>
              </w:rPr>
            </w:pPr>
          </w:p>
        </w:tc>
      </w:tr>
      <w:tr w:rsidR="009A210C" w:rsidRPr="00FF0AE1" w:rsidTr="008D6CC1">
        <w:trPr>
          <w:gridAfter w:val="1"/>
          <w:wAfter w:w="993" w:type="dxa"/>
          <w:trHeight w:val="255"/>
        </w:trPr>
        <w:tc>
          <w:tcPr>
            <w:tcW w:w="552" w:type="dxa"/>
            <w:noWrap/>
            <w:vAlign w:val="center"/>
            <w:hideMark/>
          </w:tcPr>
          <w:p w:rsidR="009A210C" w:rsidRPr="00FF0AE1" w:rsidRDefault="009A210C">
            <w:pPr>
              <w:spacing w:line="256" w:lineRule="auto"/>
              <w:jc w:val="center"/>
              <w:rPr>
                <w:sz w:val="20"/>
                <w:szCs w:val="20"/>
                <w:lang w:val="en-US"/>
              </w:rPr>
            </w:pPr>
            <w:r w:rsidRPr="00FF0AE1">
              <w:rPr>
                <w:sz w:val="20"/>
                <w:szCs w:val="20"/>
                <w:lang w:val="en-US"/>
              </w:rPr>
              <w:t xml:space="preserve"> </w:t>
            </w:r>
          </w:p>
        </w:tc>
        <w:tc>
          <w:tcPr>
            <w:tcW w:w="6819" w:type="dxa"/>
            <w:noWrap/>
            <w:vAlign w:val="center"/>
            <w:hideMark/>
          </w:tcPr>
          <w:p w:rsidR="009A210C" w:rsidRPr="00FF0AE1" w:rsidRDefault="009A210C">
            <w:pPr>
              <w:spacing w:line="256" w:lineRule="auto"/>
              <w:jc w:val="center"/>
              <w:rPr>
                <w:b/>
                <w:bCs/>
                <w:sz w:val="20"/>
                <w:szCs w:val="20"/>
                <w:lang w:val="en-US"/>
              </w:rPr>
            </w:pPr>
            <w:r w:rsidRPr="00FF0AE1">
              <w:rPr>
                <w:b/>
                <w:bCs/>
                <w:sz w:val="20"/>
                <w:szCs w:val="20"/>
                <w:lang w:val="en-US"/>
              </w:rPr>
              <w:t>WORKS AND SERVICES ON SUSPENSION OF STRUCTURES TO CEILING BEAMS OF EXHIBITION HALLS</w:t>
            </w:r>
            <w:r w:rsidRPr="00FF0AE1">
              <w:rPr>
                <w:b/>
                <w:color w:val="FF0000"/>
                <w:kern w:val="1"/>
                <w:sz w:val="20"/>
                <w:szCs w:val="20"/>
                <w:lang w:val="en-US"/>
              </w:rPr>
              <w:t>*</w:t>
            </w:r>
          </w:p>
        </w:tc>
        <w:tc>
          <w:tcPr>
            <w:tcW w:w="1275" w:type="dxa"/>
            <w:noWrap/>
            <w:vAlign w:val="bottom"/>
            <w:hideMark/>
          </w:tcPr>
          <w:p w:rsidR="009A210C" w:rsidRPr="00FF0AE1" w:rsidRDefault="009A210C">
            <w:pPr>
              <w:spacing w:line="256" w:lineRule="auto"/>
              <w:rPr>
                <w:sz w:val="20"/>
                <w:szCs w:val="20"/>
                <w:lang w:val="en-US"/>
              </w:rPr>
            </w:pPr>
            <w:r w:rsidRPr="00FF0AE1">
              <w:rPr>
                <w:sz w:val="20"/>
                <w:szCs w:val="20"/>
                <w:lang w:val="en-US"/>
              </w:rPr>
              <w:t> </w:t>
            </w:r>
          </w:p>
        </w:tc>
        <w:tc>
          <w:tcPr>
            <w:tcW w:w="1134" w:type="dxa"/>
          </w:tcPr>
          <w:p w:rsidR="009A210C" w:rsidRPr="00FF0AE1" w:rsidRDefault="009A210C">
            <w:pPr>
              <w:spacing w:line="256" w:lineRule="auto"/>
              <w:rPr>
                <w:sz w:val="20"/>
                <w:szCs w:val="20"/>
                <w:lang w:val="en-US"/>
              </w:rPr>
            </w:pPr>
          </w:p>
        </w:tc>
        <w:tc>
          <w:tcPr>
            <w:tcW w:w="1134" w:type="dxa"/>
          </w:tcPr>
          <w:p w:rsidR="009A210C" w:rsidRPr="00FF0AE1" w:rsidRDefault="009A210C">
            <w:pPr>
              <w:spacing w:line="256" w:lineRule="auto"/>
              <w:rPr>
                <w:sz w:val="20"/>
                <w:szCs w:val="20"/>
                <w:lang w:val="en-US"/>
              </w:rPr>
            </w:pPr>
          </w:p>
        </w:tc>
        <w:tc>
          <w:tcPr>
            <w:tcW w:w="1276" w:type="dxa"/>
          </w:tcPr>
          <w:p w:rsidR="009A210C" w:rsidRPr="00FF0AE1" w:rsidRDefault="009A210C" w:rsidP="008D6CC1">
            <w:pPr>
              <w:spacing w:line="256" w:lineRule="auto"/>
              <w:jc w:val="center"/>
              <w:rPr>
                <w:sz w:val="20"/>
                <w:szCs w:val="20"/>
                <w:lang w:val="en-US"/>
              </w:rPr>
            </w:pPr>
          </w:p>
        </w:tc>
        <w:tc>
          <w:tcPr>
            <w:tcW w:w="1134" w:type="dxa"/>
          </w:tcPr>
          <w:p w:rsidR="009A210C" w:rsidRPr="00FF0AE1" w:rsidRDefault="009A210C">
            <w:pPr>
              <w:spacing w:line="256" w:lineRule="auto"/>
              <w:rPr>
                <w:sz w:val="20"/>
                <w:szCs w:val="20"/>
                <w:lang w:val="en-US"/>
              </w:rPr>
            </w:pPr>
          </w:p>
        </w:tc>
        <w:tc>
          <w:tcPr>
            <w:tcW w:w="927" w:type="dxa"/>
          </w:tcPr>
          <w:p w:rsidR="009A210C" w:rsidRPr="00FF0AE1" w:rsidRDefault="009A210C">
            <w:pPr>
              <w:spacing w:line="256" w:lineRule="auto"/>
              <w:rPr>
                <w:sz w:val="20"/>
                <w:szCs w:val="20"/>
                <w:lang w:val="en-US"/>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lang w:val="en-US"/>
              </w:rPr>
            </w:pPr>
            <w:r w:rsidRPr="00FF0AE1">
              <w:rPr>
                <w:sz w:val="20"/>
                <w:szCs w:val="20"/>
                <w:lang w:val="en-US"/>
              </w:rPr>
              <w:t>1</w:t>
            </w:r>
          </w:p>
        </w:tc>
        <w:tc>
          <w:tcPr>
            <w:tcW w:w="6819" w:type="dxa"/>
            <w:noWrap/>
            <w:hideMark/>
          </w:tcPr>
          <w:p w:rsidR="00FF0AE1" w:rsidRPr="00FF0AE1" w:rsidRDefault="00FF0AE1" w:rsidP="00DF1D7D">
            <w:pPr>
              <w:rPr>
                <w:sz w:val="20"/>
                <w:szCs w:val="20"/>
                <w:lang w:val="en-US"/>
              </w:rPr>
            </w:pPr>
            <w:r w:rsidRPr="00FF0AE1">
              <w:rPr>
                <w:sz w:val="20"/>
                <w:szCs w:val="20"/>
                <w:lang w:val="en-US"/>
              </w:rPr>
              <w:t>Organization of one suspension point and lifting of cargo up to 10 kg inclusive.</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23 500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392</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362</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2350</w:t>
            </w:r>
          </w:p>
        </w:tc>
        <w:tc>
          <w:tcPr>
            <w:tcW w:w="1134" w:type="dxa"/>
          </w:tcPr>
          <w:p w:rsidR="00FF0AE1" w:rsidRPr="00FF0AE1" w:rsidRDefault="00FF0AE1" w:rsidP="00FE5676">
            <w:pPr>
              <w:spacing w:line="256" w:lineRule="auto"/>
              <w:jc w:val="center"/>
              <w:rPr>
                <w:sz w:val="20"/>
                <w:szCs w:val="20"/>
                <w:lang w:val="en-US"/>
              </w:rPr>
            </w:pPr>
          </w:p>
        </w:tc>
        <w:tc>
          <w:tcPr>
            <w:tcW w:w="927" w:type="dxa"/>
          </w:tcPr>
          <w:p w:rsidR="00FF0AE1" w:rsidRPr="00FF0AE1" w:rsidRDefault="00FF0AE1" w:rsidP="00FE5676">
            <w:pPr>
              <w:spacing w:line="256" w:lineRule="auto"/>
              <w:jc w:val="center"/>
              <w:rPr>
                <w:sz w:val="20"/>
                <w:szCs w:val="20"/>
                <w:lang w:val="en-US"/>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lang w:val="en-US"/>
              </w:rPr>
            </w:pPr>
            <w:r w:rsidRPr="00FF0AE1">
              <w:rPr>
                <w:sz w:val="20"/>
                <w:szCs w:val="20"/>
                <w:lang w:val="en-US"/>
              </w:rPr>
              <w:t>2</w:t>
            </w:r>
          </w:p>
        </w:tc>
        <w:tc>
          <w:tcPr>
            <w:tcW w:w="6819" w:type="dxa"/>
            <w:noWrap/>
            <w:hideMark/>
          </w:tcPr>
          <w:p w:rsidR="00FF0AE1" w:rsidRPr="00FF0AE1" w:rsidRDefault="00FF0AE1" w:rsidP="0090754D">
            <w:pPr>
              <w:rPr>
                <w:sz w:val="20"/>
                <w:szCs w:val="20"/>
                <w:lang w:val="en-US"/>
              </w:rPr>
            </w:pPr>
            <w:r w:rsidRPr="00FF0AE1">
              <w:rPr>
                <w:sz w:val="20"/>
                <w:szCs w:val="20"/>
                <w:lang w:val="en-US"/>
              </w:rPr>
              <w:t>Organization of one suspension point and lifting of cargo</w:t>
            </w:r>
          </w:p>
          <w:p w:rsidR="00FF0AE1" w:rsidRPr="00FF0AE1" w:rsidRDefault="00FF0AE1" w:rsidP="0090754D">
            <w:pPr>
              <w:rPr>
                <w:sz w:val="20"/>
                <w:szCs w:val="20"/>
                <w:lang w:val="en-US"/>
              </w:rPr>
            </w:pPr>
            <w:proofErr w:type="spellStart"/>
            <w:r w:rsidRPr="00FF0AE1">
              <w:rPr>
                <w:sz w:val="20"/>
                <w:szCs w:val="20"/>
              </w:rPr>
              <w:t>from</w:t>
            </w:r>
            <w:proofErr w:type="spellEnd"/>
            <w:r w:rsidRPr="00FF0AE1">
              <w:rPr>
                <w:sz w:val="20"/>
                <w:szCs w:val="20"/>
              </w:rPr>
              <w:t xml:space="preserve"> 10 </w:t>
            </w:r>
            <w:proofErr w:type="spellStart"/>
            <w:r w:rsidRPr="00FF0AE1">
              <w:rPr>
                <w:sz w:val="20"/>
                <w:szCs w:val="20"/>
              </w:rPr>
              <w:t>to</w:t>
            </w:r>
            <w:proofErr w:type="spellEnd"/>
            <w:r w:rsidRPr="00FF0AE1">
              <w:rPr>
                <w:sz w:val="20"/>
                <w:szCs w:val="20"/>
              </w:rPr>
              <w:t xml:space="preserve"> 50 </w:t>
            </w:r>
            <w:proofErr w:type="spellStart"/>
            <w:r w:rsidRPr="00FF0AE1">
              <w:rPr>
                <w:sz w:val="20"/>
                <w:szCs w:val="20"/>
              </w:rPr>
              <w:t>kg</w:t>
            </w:r>
            <w:proofErr w:type="spellEnd"/>
            <w:r w:rsidRPr="00FF0AE1">
              <w:rPr>
                <w:sz w:val="20"/>
                <w:szCs w:val="20"/>
              </w:rPr>
              <w:t xml:space="preserve"> </w:t>
            </w:r>
            <w:proofErr w:type="spellStart"/>
            <w:r w:rsidRPr="00FF0AE1">
              <w:rPr>
                <w:sz w:val="20"/>
                <w:szCs w:val="20"/>
              </w:rPr>
              <w:t>inclusive</w:t>
            </w:r>
            <w:proofErr w:type="spellEnd"/>
            <w:r w:rsidRPr="00FF0AE1">
              <w:rPr>
                <w:sz w:val="20"/>
                <w:szCs w:val="20"/>
                <w:lang w:val="en-US"/>
              </w:rPr>
              <w:t>.</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33 900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565</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522</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3390</w:t>
            </w:r>
          </w:p>
        </w:tc>
        <w:tc>
          <w:tcPr>
            <w:tcW w:w="1134" w:type="dxa"/>
          </w:tcPr>
          <w:p w:rsidR="00FF0AE1" w:rsidRPr="00FF0AE1" w:rsidRDefault="00FF0AE1" w:rsidP="00FE5676">
            <w:pPr>
              <w:spacing w:line="256" w:lineRule="auto"/>
              <w:jc w:val="center"/>
              <w:rPr>
                <w:sz w:val="20"/>
                <w:szCs w:val="20"/>
                <w:lang w:val="en-US"/>
              </w:rPr>
            </w:pPr>
          </w:p>
        </w:tc>
        <w:tc>
          <w:tcPr>
            <w:tcW w:w="927" w:type="dxa"/>
          </w:tcPr>
          <w:p w:rsidR="00FF0AE1" w:rsidRPr="00FF0AE1" w:rsidRDefault="00FF0AE1" w:rsidP="00FE5676">
            <w:pPr>
              <w:spacing w:line="256" w:lineRule="auto"/>
              <w:jc w:val="center"/>
              <w:rPr>
                <w:sz w:val="20"/>
                <w:szCs w:val="20"/>
                <w:lang w:val="en-US"/>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rPr>
            </w:pPr>
            <w:r w:rsidRPr="00FF0AE1">
              <w:rPr>
                <w:sz w:val="20"/>
                <w:szCs w:val="20"/>
              </w:rPr>
              <w:t>3</w:t>
            </w:r>
          </w:p>
        </w:tc>
        <w:tc>
          <w:tcPr>
            <w:tcW w:w="6819" w:type="dxa"/>
            <w:noWrap/>
            <w:hideMark/>
          </w:tcPr>
          <w:p w:rsidR="00FF0AE1" w:rsidRPr="00FF0AE1" w:rsidRDefault="00FF0AE1" w:rsidP="0090754D">
            <w:pPr>
              <w:rPr>
                <w:sz w:val="20"/>
                <w:szCs w:val="20"/>
                <w:lang w:val="en-US"/>
              </w:rPr>
            </w:pPr>
            <w:r w:rsidRPr="00FF0AE1">
              <w:rPr>
                <w:sz w:val="20"/>
                <w:szCs w:val="20"/>
                <w:lang w:val="en-US"/>
              </w:rPr>
              <w:t>Organization of one suspension point and lifting of cargo</w:t>
            </w:r>
          </w:p>
          <w:p w:rsidR="00FF0AE1" w:rsidRPr="00FF0AE1" w:rsidRDefault="00FF0AE1" w:rsidP="0090754D">
            <w:pPr>
              <w:rPr>
                <w:sz w:val="20"/>
                <w:szCs w:val="20"/>
                <w:lang w:val="en-US"/>
              </w:rPr>
            </w:pPr>
            <w:r w:rsidRPr="00FF0AE1">
              <w:rPr>
                <w:sz w:val="20"/>
                <w:szCs w:val="20"/>
                <w:lang w:val="en-US"/>
              </w:rPr>
              <w:t>from 50 to 100 kg inclusive</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43 500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725</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670</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4350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bookmarkStart w:id="0" w:name="_GoBack"/>
            <w:bookmarkEnd w:id="0"/>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rPr>
            </w:pPr>
            <w:r w:rsidRPr="00FF0AE1">
              <w:rPr>
                <w:sz w:val="20"/>
                <w:szCs w:val="20"/>
              </w:rPr>
              <w:t>4</w:t>
            </w:r>
          </w:p>
        </w:tc>
        <w:tc>
          <w:tcPr>
            <w:tcW w:w="6819" w:type="dxa"/>
            <w:noWrap/>
            <w:hideMark/>
          </w:tcPr>
          <w:p w:rsidR="00FF0AE1" w:rsidRPr="00FF0AE1" w:rsidRDefault="00FF0AE1" w:rsidP="00DF1D7D">
            <w:pPr>
              <w:rPr>
                <w:sz w:val="20"/>
                <w:szCs w:val="20"/>
                <w:lang w:val="en-US"/>
              </w:rPr>
            </w:pPr>
            <w:r w:rsidRPr="00FF0AE1">
              <w:rPr>
                <w:sz w:val="20"/>
                <w:szCs w:val="20"/>
                <w:lang w:val="en-US"/>
              </w:rPr>
              <w:t>Suspension of the lifting mechanism (winch) of the Customer without the cost of its lease and operation, for 1 mechanism.</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23 500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392</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362</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2350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rPr>
            </w:pPr>
            <w:r w:rsidRPr="00FF0AE1">
              <w:rPr>
                <w:sz w:val="20"/>
                <w:szCs w:val="20"/>
              </w:rPr>
              <w:t>5</w:t>
            </w:r>
          </w:p>
        </w:tc>
        <w:tc>
          <w:tcPr>
            <w:tcW w:w="6819" w:type="dxa"/>
            <w:noWrap/>
            <w:hideMark/>
          </w:tcPr>
          <w:p w:rsidR="00FF0AE1" w:rsidRPr="00FF0AE1" w:rsidRDefault="00FF0AE1" w:rsidP="0090754D">
            <w:pPr>
              <w:rPr>
                <w:sz w:val="20"/>
                <w:szCs w:val="20"/>
                <w:lang w:val="en-US"/>
              </w:rPr>
            </w:pPr>
            <w:r w:rsidRPr="00FF0AE1">
              <w:rPr>
                <w:sz w:val="20"/>
                <w:szCs w:val="20"/>
                <w:lang w:val="en-US"/>
              </w:rPr>
              <w:t>A drawbar for the exact orientation of the suspended</w:t>
            </w:r>
          </w:p>
          <w:p w:rsidR="00FF0AE1" w:rsidRPr="00FF0AE1" w:rsidRDefault="00FF0AE1" w:rsidP="0090754D">
            <w:pPr>
              <w:rPr>
                <w:sz w:val="20"/>
                <w:szCs w:val="20"/>
                <w:lang w:val="en-US"/>
              </w:rPr>
            </w:pPr>
            <w:proofErr w:type="gramStart"/>
            <w:r w:rsidRPr="00FF0AE1">
              <w:rPr>
                <w:sz w:val="20"/>
                <w:szCs w:val="20"/>
                <w:lang w:val="en-US"/>
              </w:rPr>
              <w:t>structure</w:t>
            </w:r>
            <w:proofErr w:type="gramEnd"/>
            <w:r w:rsidRPr="00FF0AE1">
              <w:rPr>
                <w:sz w:val="20"/>
                <w:szCs w:val="20"/>
                <w:lang w:val="en-US"/>
              </w:rPr>
              <w:t>, for 1 point.</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16 600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277</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256</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1660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rPr>
            </w:pPr>
            <w:r w:rsidRPr="00FF0AE1">
              <w:rPr>
                <w:sz w:val="20"/>
                <w:szCs w:val="20"/>
              </w:rPr>
              <w:t>6</w:t>
            </w:r>
          </w:p>
        </w:tc>
        <w:tc>
          <w:tcPr>
            <w:tcW w:w="6819" w:type="dxa"/>
            <w:noWrap/>
            <w:hideMark/>
          </w:tcPr>
          <w:p w:rsidR="00FF0AE1" w:rsidRPr="00FF0AE1" w:rsidRDefault="00FF0AE1" w:rsidP="00DF1D7D">
            <w:pPr>
              <w:rPr>
                <w:sz w:val="20"/>
                <w:szCs w:val="20"/>
                <w:lang w:val="en-US"/>
              </w:rPr>
            </w:pPr>
            <w:r w:rsidRPr="00FF0AE1">
              <w:rPr>
                <w:sz w:val="20"/>
                <w:szCs w:val="20"/>
                <w:lang w:val="en-US"/>
              </w:rPr>
              <w:t>Safety rope for parts of the stand structure that have support on the floor, for 1 point.</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23 500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392</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362</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2350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rPr>
            </w:pPr>
            <w:r w:rsidRPr="00FF0AE1">
              <w:rPr>
                <w:sz w:val="20"/>
                <w:szCs w:val="20"/>
              </w:rPr>
              <w:t>7</w:t>
            </w:r>
          </w:p>
        </w:tc>
        <w:tc>
          <w:tcPr>
            <w:tcW w:w="6819" w:type="dxa"/>
            <w:noWrap/>
            <w:hideMark/>
          </w:tcPr>
          <w:p w:rsidR="00FF0AE1" w:rsidRPr="00FF0AE1" w:rsidRDefault="00FF0AE1" w:rsidP="00DF1D7D">
            <w:pPr>
              <w:rPr>
                <w:sz w:val="20"/>
                <w:szCs w:val="20"/>
                <w:lang w:val="en-US"/>
              </w:rPr>
            </w:pPr>
            <w:proofErr w:type="gramStart"/>
            <w:r w:rsidRPr="00FF0AE1">
              <w:rPr>
                <w:sz w:val="20"/>
                <w:szCs w:val="20"/>
                <w:lang w:val="en-US"/>
              </w:rPr>
              <w:t>Laying</w:t>
            </w:r>
            <w:proofErr w:type="gramEnd"/>
            <w:r w:rsidRPr="00FF0AE1">
              <w:rPr>
                <w:sz w:val="20"/>
                <w:szCs w:val="20"/>
                <w:lang w:val="en-US"/>
              </w:rPr>
              <w:t xml:space="preserve"> of an electric cable along the ceiling structures of the pavilion from the power source to the consumer, for 1.0 m of cable along the ceiling structure.</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1 400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24</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22</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140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rPr>
            </w:pPr>
            <w:r w:rsidRPr="00FF0AE1">
              <w:rPr>
                <w:sz w:val="20"/>
                <w:szCs w:val="20"/>
              </w:rPr>
              <w:t>8</w:t>
            </w:r>
          </w:p>
        </w:tc>
        <w:tc>
          <w:tcPr>
            <w:tcW w:w="6819" w:type="dxa"/>
            <w:noWrap/>
            <w:hideMark/>
          </w:tcPr>
          <w:p w:rsidR="00FF0AE1" w:rsidRPr="00FF0AE1" w:rsidRDefault="00FF0AE1" w:rsidP="0090754D">
            <w:pPr>
              <w:rPr>
                <w:sz w:val="20"/>
                <w:szCs w:val="20"/>
                <w:lang w:val="en-US"/>
              </w:rPr>
            </w:pPr>
            <w:r w:rsidRPr="00FF0AE1">
              <w:rPr>
                <w:sz w:val="20"/>
                <w:szCs w:val="20"/>
                <w:lang w:val="en-US"/>
              </w:rPr>
              <w:t>Rent a winch with lifting to a given height</w:t>
            </w:r>
          </w:p>
          <w:p w:rsidR="00FF0AE1" w:rsidRPr="00FF0AE1" w:rsidRDefault="00FF0AE1" w:rsidP="0090754D">
            <w:pPr>
              <w:rPr>
                <w:sz w:val="20"/>
                <w:szCs w:val="20"/>
                <w:lang w:val="en-US"/>
              </w:rPr>
            </w:pPr>
            <w:r w:rsidRPr="00FF0AE1">
              <w:rPr>
                <w:sz w:val="20"/>
                <w:szCs w:val="20"/>
                <w:lang w:val="en-US"/>
              </w:rPr>
              <w:t>(for the entire Period of the Event)</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13 100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219</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202</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1310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lang w:val="en-US"/>
              </w:rPr>
            </w:pPr>
          </w:p>
        </w:tc>
        <w:tc>
          <w:tcPr>
            <w:tcW w:w="6819" w:type="dxa"/>
            <w:noWrap/>
            <w:hideMark/>
          </w:tcPr>
          <w:p w:rsidR="00FF0AE1" w:rsidRPr="00FF0AE1" w:rsidRDefault="00FF0AE1" w:rsidP="0090754D">
            <w:pPr>
              <w:jc w:val="center"/>
              <w:rPr>
                <w:sz w:val="20"/>
                <w:szCs w:val="20"/>
              </w:rPr>
            </w:pPr>
            <w:r w:rsidRPr="00FF0AE1">
              <w:rPr>
                <w:b/>
                <w:bCs/>
                <w:sz w:val="20"/>
                <w:szCs w:val="20"/>
                <w:lang w:val="en-US"/>
              </w:rPr>
              <w:t>POWER SUPPLY CONNECTION SERVICES</w:t>
            </w:r>
            <w:r w:rsidRPr="00FF0AE1">
              <w:rPr>
                <w:b/>
                <w:color w:val="FF0000"/>
                <w:kern w:val="1"/>
                <w:sz w:val="20"/>
                <w:szCs w:val="20"/>
              </w:rPr>
              <w:t>**</w:t>
            </w:r>
          </w:p>
        </w:tc>
        <w:tc>
          <w:tcPr>
            <w:tcW w:w="1275" w:type="dxa"/>
            <w:noWrap/>
            <w:vAlign w:val="center"/>
          </w:tcPr>
          <w:p w:rsidR="00FF0AE1" w:rsidRPr="00FF0AE1" w:rsidRDefault="00FF0AE1" w:rsidP="005A636E">
            <w:pPr>
              <w:widowControl/>
              <w:suppressAutoHyphens w:val="0"/>
              <w:jc w:val="center"/>
              <w:rPr>
                <w:rFonts w:eastAsia="Times New Roman"/>
                <w:kern w:val="0"/>
                <w:sz w:val="20"/>
                <w:szCs w:val="20"/>
                <w:lang w:eastAsia="ru-RU"/>
              </w:rPr>
            </w:pPr>
          </w:p>
        </w:tc>
        <w:tc>
          <w:tcPr>
            <w:tcW w:w="1134" w:type="dxa"/>
            <w:vAlign w:val="bottom"/>
          </w:tcPr>
          <w:p w:rsidR="00FF0AE1" w:rsidRPr="00FF0AE1" w:rsidRDefault="00FF0AE1" w:rsidP="00FF0AE1">
            <w:pPr>
              <w:jc w:val="center"/>
              <w:rPr>
                <w:color w:val="000000"/>
                <w:sz w:val="20"/>
                <w:szCs w:val="20"/>
              </w:rPr>
            </w:pPr>
          </w:p>
        </w:tc>
        <w:tc>
          <w:tcPr>
            <w:tcW w:w="1134" w:type="dxa"/>
            <w:vAlign w:val="bottom"/>
          </w:tcPr>
          <w:p w:rsidR="00FF0AE1" w:rsidRPr="00FF0AE1" w:rsidRDefault="00FF0AE1" w:rsidP="00FF0AE1">
            <w:pPr>
              <w:jc w:val="center"/>
              <w:rPr>
                <w:color w:val="000000"/>
                <w:sz w:val="20"/>
                <w:szCs w:val="20"/>
              </w:rPr>
            </w:pPr>
          </w:p>
        </w:tc>
        <w:tc>
          <w:tcPr>
            <w:tcW w:w="1276" w:type="dxa"/>
            <w:vAlign w:val="bottom"/>
          </w:tcPr>
          <w:p w:rsidR="00FF0AE1" w:rsidRPr="00FF0AE1" w:rsidRDefault="00FF0AE1" w:rsidP="00FF0AE1">
            <w:pPr>
              <w:jc w:val="center"/>
              <w:rPr>
                <w:color w:val="000000"/>
                <w:sz w:val="20"/>
                <w:szCs w:val="20"/>
              </w:rPr>
            </w:pP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9A210C">
            <w:pPr>
              <w:spacing w:line="256" w:lineRule="auto"/>
              <w:jc w:val="center"/>
              <w:rPr>
                <w:sz w:val="20"/>
                <w:szCs w:val="20"/>
                <w:lang w:val="en-US"/>
              </w:rPr>
            </w:pPr>
            <w:r w:rsidRPr="00FF0AE1">
              <w:rPr>
                <w:sz w:val="20"/>
                <w:szCs w:val="20"/>
                <w:lang w:val="en-US"/>
              </w:rPr>
              <w:t>9</w:t>
            </w:r>
          </w:p>
        </w:tc>
        <w:tc>
          <w:tcPr>
            <w:tcW w:w="6819" w:type="dxa"/>
            <w:noWrap/>
            <w:hideMark/>
          </w:tcPr>
          <w:p w:rsidR="00FF0AE1" w:rsidRPr="00FF0AE1" w:rsidRDefault="00FF0AE1" w:rsidP="000F3E1F">
            <w:pPr>
              <w:rPr>
                <w:sz w:val="20"/>
                <w:szCs w:val="20"/>
                <w:lang w:val="en-US"/>
              </w:rPr>
            </w:pPr>
            <w:r w:rsidRPr="00FF0AE1">
              <w:rPr>
                <w:sz w:val="20"/>
                <w:szCs w:val="20"/>
                <w:lang w:val="en-US"/>
              </w:rPr>
              <w:t>Connection to the power supply source up to 5 kW, for 1 connection</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27 600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460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425</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2760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FE5676">
            <w:pPr>
              <w:spacing w:line="256" w:lineRule="auto"/>
              <w:jc w:val="center"/>
              <w:rPr>
                <w:sz w:val="20"/>
                <w:szCs w:val="20"/>
                <w:lang w:val="en-US"/>
              </w:rPr>
            </w:pPr>
            <w:r w:rsidRPr="00FF0AE1">
              <w:rPr>
                <w:sz w:val="20"/>
                <w:szCs w:val="20"/>
              </w:rPr>
              <w:t>1</w:t>
            </w:r>
            <w:r w:rsidRPr="00FF0AE1">
              <w:rPr>
                <w:sz w:val="20"/>
                <w:szCs w:val="20"/>
                <w:lang w:val="en-US"/>
              </w:rPr>
              <w:t>0</w:t>
            </w:r>
          </w:p>
        </w:tc>
        <w:tc>
          <w:tcPr>
            <w:tcW w:w="6819" w:type="dxa"/>
            <w:noWrap/>
            <w:hideMark/>
          </w:tcPr>
          <w:p w:rsidR="00FF0AE1" w:rsidRPr="00FF0AE1" w:rsidRDefault="00FF0AE1" w:rsidP="000F3E1F">
            <w:pPr>
              <w:rPr>
                <w:sz w:val="20"/>
                <w:szCs w:val="20"/>
                <w:lang w:val="en-US"/>
              </w:rPr>
            </w:pPr>
            <w:r w:rsidRPr="00FF0AE1">
              <w:rPr>
                <w:sz w:val="20"/>
                <w:szCs w:val="20"/>
                <w:lang w:val="en-US"/>
              </w:rPr>
              <w:t>Connection to the power supply source up to 10 kW, for 1 connection</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34 500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575</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531</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3450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0416A8">
            <w:pPr>
              <w:spacing w:line="256" w:lineRule="auto"/>
              <w:jc w:val="center"/>
              <w:rPr>
                <w:sz w:val="20"/>
                <w:szCs w:val="20"/>
              </w:rPr>
            </w:pPr>
            <w:r w:rsidRPr="00FF0AE1">
              <w:rPr>
                <w:sz w:val="20"/>
                <w:szCs w:val="20"/>
              </w:rPr>
              <w:t>11</w:t>
            </w:r>
          </w:p>
        </w:tc>
        <w:tc>
          <w:tcPr>
            <w:tcW w:w="6819" w:type="dxa"/>
            <w:noWrap/>
            <w:hideMark/>
          </w:tcPr>
          <w:p w:rsidR="00FF0AE1" w:rsidRPr="00FF0AE1" w:rsidRDefault="00FF0AE1" w:rsidP="000F3E1F">
            <w:pPr>
              <w:rPr>
                <w:sz w:val="20"/>
                <w:szCs w:val="20"/>
                <w:lang w:val="en-US"/>
              </w:rPr>
            </w:pPr>
            <w:r w:rsidRPr="00FF0AE1">
              <w:rPr>
                <w:sz w:val="20"/>
                <w:szCs w:val="20"/>
                <w:lang w:val="en-US"/>
              </w:rPr>
              <w:t>Connection to the power supply source up to 20 kW, for 1 connection</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55 100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919</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848</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5510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0416A8">
            <w:pPr>
              <w:spacing w:line="256" w:lineRule="auto"/>
              <w:jc w:val="center"/>
              <w:rPr>
                <w:sz w:val="20"/>
                <w:szCs w:val="20"/>
              </w:rPr>
            </w:pPr>
            <w:r w:rsidRPr="00FF0AE1">
              <w:rPr>
                <w:sz w:val="20"/>
                <w:szCs w:val="20"/>
              </w:rPr>
              <w:t>12</w:t>
            </w:r>
          </w:p>
        </w:tc>
        <w:tc>
          <w:tcPr>
            <w:tcW w:w="6819" w:type="dxa"/>
            <w:noWrap/>
            <w:hideMark/>
          </w:tcPr>
          <w:p w:rsidR="00FF0AE1" w:rsidRPr="00FF0AE1" w:rsidRDefault="00FF0AE1" w:rsidP="007E7765">
            <w:pPr>
              <w:rPr>
                <w:sz w:val="20"/>
                <w:szCs w:val="20"/>
                <w:lang w:val="en-US"/>
              </w:rPr>
            </w:pPr>
            <w:r w:rsidRPr="00FF0AE1">
              <w:rPr>
                <w:sz w:val="20"/>
                <w:szCs w:val="20"/>
                <w:lang w:val="en-US"/>
              </w:rPr>
              <w:t>Connection to the power supply source up to 40 kW, for 1 connection</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82 800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1380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1274</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8280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0416A8">
            <w:pPr>
              <w:spacing w:line="256" w:lineRule="auto"/>
              <w:jc w:val="center"/>
              <w:rPr>
                <w:sz w:val="20"/>
                <w:szCs w:val="20"/>
              </w:rPr>
            </w:pPr>
            <w:r w:rsidRPr="00FF0AE1">
              <w:rPr>
                <w:sz w:val="20"/>
                <w:szCs w:val="20"/>
              </w:rPr>
              <w:t>13</w:t>
            </w:r>
          </w:p>
        </w:tc>
        <w:tc>
          <w:tcPr>
            <w:tcW w:w="6819" w:type="dxa"/>
            <w:noWrap/>
            <w:hideMark/>
          </w:tcPr>
          <w:p w:rsidR="00FF0AE1" w:rsidRPr="00FF0AE1" w:rsidRDefault="00FF0AE1" w:rsidP="007E7765">
            <w:pPr>
              <w:rPr>
                <w:sz w:val="20"/>
                <w:szCs w:val="20"/>
                <w:lang w:val="en-US"/>
              </w:rPr>
            </w:pPr>
            <w:r w:rsidRPr="00FF0AE1">
              <w:rPr>
                <w:sz w:val="20"/>
                <w:szCs w:val="20"/>
                <w:lang w:val="en-US"/>
              </w:rPr>
              <w:t>Connection to a power supply source up to 60 kW, for 1 connection</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96 500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1609</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1485</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9650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0416A8">
            <w:pPr>
              <w:spacing w:line="256" w:lineRule="auto"/>
              <w:jc w:val="center"/>
              <w:rPr>
                <w:sz w:val="20"/>
                <w:szCs w:val="20"/>
              </w:rPr>
            </w:pPr>
          </w:p>
        </w:tc>
        <w:tc>
          <w:tcPr>
            <w:tcW w:w="6819" w:type="dxa"/>
            <w:noWrap/>
            <w:vAlign w:val="center"/>
            <w:hideMark/>
          </w:tcPr>
          <w:p w:rsidR="00FF0AE1" w:rsidRPr="00FF0AE1" w:rsidRDefault="00FF0AE1" w:rsidP="0090754D">
            <w:pPr>
              <w:jc w:val="center"/>
              <w:rPr>
                <w:b/>
                <w:bCs/>
                <w:sz w:val="20"/>
                <w:szCs w:val="20"/>
                <w:lang w:val="en-US"/>
              </w:rPr>
            </w:pPr>
            <w:r w:rsidRPr="00FF0AE1">
              <w:rPr>
                <w:b/>
                <w:bCs/>
                <w:sz w:val="20"/>
                <w:szCs w:val="20"/>
                <w:lang w:val="en-US"/>
              </w:rPr>
              <w:t>PLUMBING SERVICES</w:t>
            </w:r>
            <w:r w:rsidRPr="00FF0AE1">
              <w:rPr>
                <w:b/>
                <w:color w:val="FF0000"/>
                <w:kern w:val="1"/>
                <w:sz w:val="20"/>
                <w:szCs w:val="20"/>
              </w:rPr>
              <w:t>***</w:t>
            </w:r>
          </w:p>
        </w:tc>
        <w:tc>
          <w:tcPr>
            <w:tcW w:w="1275" w:type="dxa"/>
            <w:noWrap/>
            <w:vAlign w:val="center"/>
          </w:tcPr>
          <w:p w:rsidR="00FF0AE1" w:rsidRPr="00FF0AE1" w:rsidRDefault="00FF0AE1" w:rsidP="000416A8">
            <w:pPr>
              <w:widowControl/>
              <w:suppressAutoHyphens w:val="0"/>
              <w:jc w:val="center"/>
              <w:rPr>
                <w:rFonts w:eastAsia="Times New Roman"/>
                <w:kern w:val="0"/>
                <w:sz w:val="20"/>
                <w:szCs w:val="20"/>
                <w:lang w:eastAsia="ru-RU"/>
              </w:rPr>
            </w:pPr>
          </w:p>
        </w:tc>
        <w:tc>
          <w:tcPr>
            <w:tcW w:w="1134" w:type="dxa"/>
            <w:vAlign w:val="bottom"/>
          </w:tcPr>
          <w:p w:rsidR="00FF0AE1" w:rsidRPr="00FF0AE1" w:rsidRDefault="00FF0AE1" w:rsidP="00FF0AE1">
            <w:pPr>
              <w:jc w:val="center"/>
              <w:rPr>
                <w:color w:val="000000"/>
                <w:sz w:val="20"/>
                <w:szCs w:val="20"/>
              </w:rPr>
            </w:pPr>
          </w:p>
        </w:tc>
        <w:tc>
          <w:tcPr>
            <w:tcW w:w="1134" w:type="dxa"/>
            <w:vAlign w:val="bottom"/>
          </w:tcPr>
          <w:p w:rsidR="00FF0AE1" w:rsidRPr="00FF0AE1" w:rsidRDefault="00FF0AE1" w:rsidP="00FF0AE1">
            <w:pPr>
              <w:jc w:val="center"/>
              <w:rPr>
                <w:color w:val="000000"/>
                <w:sz w:val="20"/>
                <w:szCs w:val="20"/>
              </w:rPr>
            </w:pPr>
          </w:p>
        </w:tc>
        <w:tc>
          <w:tcPr>
            <w:tcW w:w="1276" w:type="dxa"/>
            <w:vAlign w:val="bottom"/>
          </w:tcPr>
          <w:p w:rsidR="00FF0AE1" w:rsidRPr="00FF0AE1" w:rsidRDefault="00FF0AE1" w:rsidP="00FF0AE1">
            <w:pPr>
              <w:jc w:val="center"/>
              <w:rPr>
                <w:color w:val="000000"/>
                <w:sz w:val="20"/>
                <w:szCs w:val="20"/>
              </w:rPr>
            </w:pP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0416A8">
            <w:pPr>
              <w:spacing w:line="256" w:lineRule="auto"/>
              <w:jc w:val="center"/>
              <w:rPr>
                <w:sz w:val="20"/>
                <w:szCs w:val="20"/>
              </w:rPr>
            </w:pPr>
            <w:r w:rsidRPr="00FF0AE1">
              <w:rPr>
                <w:sz w:val="20"/>
                <w:szCs w:val="20"/>
              </w:rPr>
              <w:t>14</w:t>
            </w:r>
          </w:p>
        </w:tc>
        <w:tc>
          <w:tcPr>
            <w:tcW w:w="6819" w:type="dxa"/>
            <w:noWrap/>
            <w:vAlign w:val="center"/>
            <w:hideMark/>
          </w:tcPr>
          <w:p w:rsidR="00FF0AE1" w:rsidRPr="00FF0AE1" w:rsidRDefault="00FF0AE1" w:rsidP="000416A8">
            <w:pPr>
              <w:widowControl/>
              <w:suppressAutoHyphens w:val="0"/>
              <w:rPr>
                <w:rFonts w:eastAsia="Times New Roman"/>
                <w:kern w:val="0"/>
                <w:sz w:val="20"/>
                <w:szCs w:val="20"/>
                <w:lang w:val="en-US" w:eastAsia="ru-RU"/>
              </w:rPr>
            </w:pPr>
            <w:r w:rsidRPr="00FF0AE1">
              <w:rPr>
                <w:rFonts w:eastAsia="Calibri"/>
                <w:sz w:val="20"/>
                <w:szCs w:val="20"/>
                <w:lang w:val="en-US"/>
              </w:rPr>
              <w:t>Connection to the cold water supply network of the Participant's technological equipment unit at the floor level without connecting consumers, for 1 connection</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41 400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690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637</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4140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FF0AE1" w:rsidRPr="00FF0AE1" w:rsidTr="002B1D75">
        <w:trPr>
          <w:gridAfter w:val="1"/>
          <w:wAfter w:w="993" w:type="dxa"/>
          <w:trHeight w:val="255"/>
        </w:trPr>
        <w:tc>
          <w:tcPr>
            <w:tcW w:w="552" w:type="dxa"/>
            <w:noWrap/>
            <w:vAlign w:val="center"/>
            <w:hideMark/>
          </w:tcPr>
          <w:p w:rsidR="00FF0AE1" w:rsidRPr="00FF0AE1" w:rsidRDefault="00FF0AE1" w:rsidP="000416A8">
            <w:pPr>
              <w:spacing w:line="256" w:lineRule="auto"/>
              <w:jc w:val="center"/>
              <w:rPr>
                <w:sz w:val="20"/>
                <w:szCs w:val="20"/>
              </w:rPr>
            </w:pPr>
            <w:r w:rsidRPr="00FF0AE1">
              <w:rPr>
                <w:sz w:val="20"/>
                <w:szCs w:val="20"/>
              </w:rPr>
              <w:t>15</w:t>
            </w:r>
          </w:p>
        </w:tc>
        <w:tc>
          <w:tcPr>
            <w:tcW w:w="6819" w:type="dxa"/>
            <w:noWrap/>
            <w:vAlign w:val="center"/>
            <w:hideMark/>
          </w:tcPr>
          <w:p w:rsidR="00FF0AE1" w:rsidRPr="00FF0AE1" w:rsidRDefault="00FF0AE1" w:rsidP="000416A8">
            <w:pPr>
              <w:widowControl/>
              <w:suppressAutoHyphens w:val="0"/>
              <w:rPr>
                <w:rFonts w:eastAsia="Times New Roman"/>
                <w:kern w:val="0"/>
                <w:sz w:val="20"/>
                <w:szCs w:val="20"/>
                <w:lang w:val="en-US" w:eastAsia="ru-RU"/>
              </w:rPr>
            </w:pPr>
            <w:r w:rsidRPr="00FF0AE1">
              <w:rPr>
                <w:rFonts w:eastAsia="Calibri"/>
                <w:sz w:val="20"/>
                <w:szCs w:val="20"/>
                <w:lang w:val="en-US"/>
              </w:rPr>
              <w:t>Connection to the hot water supply network of the Participant's technological equipment unit at the floor level without connecting consumers, for 1 connection</w:t>
            </w:r>
          </w:p>
        </w:tc>
        <w:tc>
          <w:tcPr>
            <w:tcW w:w="1275" w:type="dxa"/>
            <w:noWrap/>
            <w:vAlign w:val="center"/>
          </w:tcPr>
          <w:p w:rsidR="00FF0AE1" w:rsidRPr="00FF0AE1" w:rsidRDefault="00FF0AE1" w:rsidP="00D020F4">
            <w:pPr>
              <w:widowControl/>
              <w:suppressAutoHyphens w:val="0"/>
              <w:jc w:val="center"/>
              <w:rPr>
                <w:rFonts w:eastAsia="Times New Roman"/>
                <w:kern w:val="0"/>
                <w:sz w:val="20"/>
                <w:szCs w:val="20"/>
                <w:lang w:eastAsia="ru-RU"/>
              </w:rPr>
            </w:pPr>
            <w:r w:rsidRPr="00FF0AE1">
              <w:rPr>
                <w:rFonts w:eastAsia="Times New Roman"/>
                <w:kern w:val="0"/>
                <w:sz w:val="20"/>
                <w:szCs w:val="20"/>
                <w:lang w:eastAsia="ru-RU"/>
              </w:rPr>
              <w:t>20 800</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347</w:t>
            </w:r>
          </w:p>
        </w:tc>
        <w:tc>
          <w:tcPr>
            <w:tcW w:w="1134" w:type="dxa"/>
            <w:vAlign w:val="bottom"/>
          </w:tcPr>
          <w:p w:rsidR="00FF0AE1" w:rsidRPr="00FF0AE1" w:rsidRDefault="00FF0AE1" w:rsidP="00FF0AE1">
            <w:pPr>
              <w:jc w:val="center"/>
              <w:rPr>
                <w:color w:val="000000"/>
                <w:sz w:val="20"/>
                <w:szCs w:val="20"/>
              </w:rPr>
            </w:pPr>
            <w:r w:rsidRPr="00FF0AE1">
              <w:rPr>
                <w:color w:val="000000"/>
                <w:sz w:val="20"/>
                <w:szCs w:val="20"/>
              </w:rPr>
              <w:t>320</w:t>
            </w:r>
          </w:p>
        </w:tc>
        <w:tc>
          <w:tcPr>
            <w:tcW w:w="1276" w:type="dxa"/>
            <w:vAlign w:val="bottom"/>
          </w:tcPr>
          <w:p w:rsidR="00FF0AE1" w:rsidRPr="00FF0AE1" w:rsidRDefault="00FF0AE1" w:rsidP="00FF0AE1">
            <w:pPr>
              <w:jc w:val="center"/>
              <w:rPr>
                <w:color w:val="000000"/>
                <w:sz w:val="20"/>
                <w:szCs w:val="20"/>
              </w:rPr>
            </w:pPr>
            <w:r w:rsidRPr="00FF0AE1">
              <w:rPr>
                <w:color w:val="000000"/>
                <w:sz w:val="20"/>
                <w:szCs w:val="20"/>
              </w:rPr>
              <w:t>2080</w:t>
            </w:r>
          </w:p>
        </w:tc>
        <w:tc>
          <w:tcPr>
            <w:tcW w:w="1134" w:type="dxa"/>
          </w:tcPr>
          <w:p w:rsidR="00FF0AE1" w:rsidRPr="00FF0AE1" w:rsidRDefault="00FF0AE1" w:rsidP="00FE5676">
            <w:pPr>
              <w:spacing w:line="256" w:lineRule="auto"/>
              <w:jc w:val="center"/>
              <w:rPr>
                <w:sz w:val="20"/>
                <w:szCs w:val="20"/>
              </w:rPr>
            </w:pPr>
          </w:p>
        </w:tc>
        <w:tc>
          <w:tcPr>
            <w:tcW w:w="927" w:type="dxa"/>
          </w:tcPr>
          <w:p w:rsidR="00FF0AE1" w:rsidRPr="00FF0AE1" w:rsidRDefault="00FF0AE1" w:rsidP="00FE5676">
            <w:pPr>
              <w:spacing w:line="256" w:lineRule="auto"/>
              <w:jc w:val="center"/>
              <w:rPr>
                <w:sz w:val="20"/>
                <w:szCs w:val="20"/>
              </w:rPr>
            </w:pPr>
          </w:p>
        </w:tc>
      </w:tr>
      <w:tr w:rsidR="009A210C" w:rsidRPr="00FF0AE1" w:rsidTr="009A210C">
        <w:trPr>
          <w:trHeight w:hRule="exact" w:val="286"/>
        </w:trPr>
        <w:tc>
          <w:tcPr>
            <w:tcW w:w="15244" w:type="dxa"/>
            <w:gridSpan w:val="9"/>
            <w:noWrap/>
            <w:vAlign w:val="center"/>
          </w:tcPr>
          <w:p w:rsidR="009A210C" w:rsidRPr="00FF0AE1" w:rsidRDefault="009A210C" w:rsidP="009A210C">
            <w:pPr>
              <w:spacing w:line="256" w:lineRule="auto"/>
              <w:rPr>
                <w:sz w:val="20"/>
                <w:szCs w:val="20"/>
                <w:lang w:val="en-US"/>
              </w:rPr>
            </w:pPr>
          </w:p>
        </w:tc>
      </w:tr>
    </w:tbl>
    <w:p w:rsidR="00473121" w:rsidRDefault="00473121">
      <w:pPr>
        <w:rPr>
          <w:rFonts w:asciiTheme="minorHAnsi" w:hAnsiTheme="minorHAnsi" w:cstheme="minorHAnsi"/>
          <w:sz w:val="22"/>
          <w:szCs w:val="22"/>
          <w:lang w:val="en-US"/>
        </w:rPr>
      </w:pPr>
    </w:p>
    <w:p w:rsidR="00C57013" w:rsidRPr="00C57013" w:rsidRDefault="00C57013" w:rsidP="00C57013">
      <w:pPr>
        <w:rPr>
          <w:rFonts w:asciiTheme="minorHAnsi" w:hAnsiTheme="minorHAnsi" w:cstheme="minorHAnsi"/>
          <w:sz w:val="22"/>
          <w:szCs w:val="22"/>
          <w:lang w:val="en-US"/>
        </w:rPr>
      </w:pPr>
      <w:r w:rsidRPr="00FF0AE1">
        <w:rPr>
          <w:b/>
          <w:color w:val="FF0000"/>
          <w:kern w:val="1"/>
          <w:sz w:val="28"/>
          <w:szCs w:val="28"/>
          <w:lang w:val="en-US"/>
        </w:rPr>
        <w:t>*</w:t>
      </w:r>
      <w:r w:rsidRPr="00C57013">
        <w:rPr>
          <w:rFonts w:asciiTheme="minorHAnsi" w:hAnsiTheme="minorHAnsi" w:cstheme="minorHAnsi"/>
          <w:sz w:val="22"/>
          <w:szCs w:val="22"/>
          <w:lang w:val="en-US"/>
        </w:rPr>
        <w:t>The price includes suspension and removal of suspension structures. The work is carried out during the installation and dismantling of the Event.</w:t>
      </w:r>
    </w:p>
    <w:p w:rsidR="00C57013" w:rsidRPr="00C57013" w:rsidRDefault="00C57013" w:rsidP="00C57013">
      <w:pPr>
        <w:rPr>
          <w:rFonts w:asciiTheme="minorHAnsi" w:hAnsiTheme="minorHAnsi" w:cstheme="minorHAnsi"/>
          <w:sz w:val="22"/>
          <w:szCs w:val="22"/>
          <w:lang w:val="en-US"/>
        </w:rPr>
      </w:pPr>
      <w:r w:rsidRPr="00C57013">
        <w:rPr>
          <w:rFonts w:asciiTheme="minorHAnsi" w:hAnsiTheme="minorHAnsi" w:cstheme="minorHAnsi"/>
          <w:sz w:val="22"/>
          <w:szCs w:val="22"/>
          <w:lang w:val="en-US"/>
        </w:rPr>
        <w:t>Suspension is not performed during the opening hours of the Event.</w:t>
      </w:r>
    </w:p>
    <w:p w:rsidR="00C57013" w:rsidRPr="00C57013" w:rsidRDefault="00C57013" w:rsidP="00C57013">
      <w:pPr>
        <w:rPr>
          <w:rFonts w:asciiTheme="minorHAnsi" w:hAnsiTheme="minorHAnsi" w:cstheme="minorHAnsi"/>
          <w:sz w:val="22"/>
          <w:szCs w:val="22"/>
          <w:lang w:val="en-US"/>
        </w:rPr>
      </w:pPr>
      <w:r w:rsidRPr="00C57013">
        <w:rPr>
          <w:rFonts w:asciiTheme="minorHAnsi" w:hAnsiTheme="minorHAnsi" w:cstheme="minorHAnsi"/>
          <w:sz w:val="22"/>
          <w:szCs w:val="22"/>
          <w:lang w:val="en-US"/>
        </w:rPr>
        <w:t>When performing works in the period from 20:00 to 08:00 hours, their cost increases by 100%.</w:t>
      </w:r>
    </w:p>
    <w:p w:rsidR="00C57013" w:rsidRPr="00C57013" w:rsidRDefault="00C57013" w:rsidP="00C57013">
      <w:pPr>
        <w:rPr>
          <w:rFonts w:asciiTheme="minorHAnsi" w:hAnsiTheme="minorHAnsi" w:cstheme="minorHAnsi"/>
          <w:sz w:val="22"/>
          <w:szCs w:val="22"/>
          <w:lang w:val="en-US"/>
        </w:rPr>
      </w:pPr>
      <w:r w:rsidRPr="00C57013">
        <w:rPr>
          <w:rFonts w:asciiTheme="minorHAnsi" w:hAnsiTheme="minorHAnsi" w:cstheme="minorHAnsi"/>
          <w:sz w:val="22"/>
          <w:szCs w:val="22"/>
          <w:lang w:val="en-US"/>
        </w:rPr>
        <w:t>When performing work in the registration halls of pavilions, the cost of work increases by 100%.</w:t>
      </w:r>
    </w:p>
    <w:p w:rsidR="00C57013" w:rsidRPr="00C57013" w:rsidRDefault="00C57013" w:rsidP="00C57013">
      <w:pPr>
        <w:rPr>
          <w:rFonts w:asciiTheme="minorHAnsi" w:hAnsiTheme="minorHAnsi" w:cstheme="minorHAnsi"/>
          <w:sz w:val="22"/>
          <w:szCs w:val="22"/>
          <w:lang w:val="en-US"/>
        </w:rPr>
      </w:pPr>
      <w:r w:rsidRPr="00C57013">
        <w:rPr>
          <w:rFonts w:asciiTheme="minorHAnsi" w:hAnsiTheme="minorHAnsi" w:cstheme="minorHAnsi"/>
          <w:sz w:val="22"/>
          <w:szCs w:val="22"/>
          <w:lang w:val="en-US"/>
        </w:rPr>
        <w:t>When lifting the structure with transfer through the built stand, the cost of work increases by 100% for each suspension point.</w:t>
      </w:r>
    </w:p>
    <w:p w:rsidR="00C57013" w:rsidRPr="00C57013" w:rsidRDefault="00C57013" w:rsidP="00C57013">
      <w:pPr>
        <w:rPr>
          <w:rFonts w:asciiTheme="minorHAnsi" w:hAnsiTheme="minorHAnsi" w:cstheme="minorHAnsi"/>
          <w:sz w:val="22"/>
          <w:szCs w:val="22"/>
          <w:lang w:val="en-US"/>
        </w:rPr>
      </w:pPr>
      <w:r w:rsidRPr="00C57013">
        <w:rPr>
          <w:rFonts w:asciiTheme="minorHAnsi" w:hAnsiTheme="minorHAnsi" w:cstheme="minorHAnsi"/>
          <w:sz w:val="22"/>
          <w:szCs w:val="22"/>
          <w:lang w:val="en-US"/>
        </w:rPr>
        <w:t xml:space="preserve">     The specified coefficients are not added or multiplied.</w:t>
      </w:r>
    </w:p>
    <w:p w:rsidR="00C57013" w:rsidRPr="00C57013" w:rsidRDefault="00C57013" w:rsidP="00C57013">
      <w:pPr>
        <w:rPr>
          <w:rFonts w:asciiTheme="minorHAnsi" w:hAnsiTheme="minorHAnsi" w:cstheme="minorHAnsi"/>
          <w:sz w:val="22"/>
          <w:szCs w:val="22"/>
          <w:lang w:val="en-US"/>
        </w:rPr>
      </w:pPr>
      <w:r w:rsidRPr="00FF0AE1">
        <w:rPr>
          <w:b/>
          <w:color w:val="FF0000"/>
          <w:kern w:val="1"/>
          <w:sz w:val="28"/>
          <w:szCs w:val="28"/>
          <w:lang w:val="en-US"/>
        </w:rPr>
        <w:t xml:space="preserve">** </w:t>
      </w:r>
      <w:r w:rsidRPr="00C57013">
        <w:rPr>
          <w:rFonts w:asciiTheme="minorHAnsi" w:hAnsiTheme="minorHAnsi" w:cstheme="minorHAnsi"/>
          <w:sz w:val="22"/>
          <w:szCs w:val="22"/>
          <w:lang w:val="en-US"/>
        </w:rPr>
        <w:t>The tariff for connection to the power supply source includes the supply of electricity.</w:t>
      </w:r>
    </w:p>
    <w:p w:rsidR="00C57013" w:rsidRPr="00C57013" w:rsidRDefault="00C57013" w:rsidP="00C57013">
      <w:pPr>
        <w:rPr>
          <w:rFonts w:asciiTheme="minorHAnsi" w:hAnsiTheme="minorHAnsi" w:cstheme="minorHAnsi"/>
          <w:sz w:val="22"/>
          <w:szCs w:val="22"/>
          <w:lang w:val="en-US"/>
        </w:rPr>
      </w:pPr>
      <w:r w:rsidRPr="00C57013">
        <w:rPr>
          <w:rFonts w:asciiTheme="minorHAnsi" w:hAnsiTheme="minorHAnsi" w:cstheme="minorHAnsi"/>
          <w:sz w:val="22"/>
          <w:szCs w:val="22"/>
          <w:lang w:val="en-US"/>
        </w:rPr>
        <w:t xml:space="preserve"> The electrical equipment of the Event Participants is connected to the power supply source using a five-wire</w:t>
      </w:r>
    </w:p>
    <w:p w:rsidR="00C57013" w:rsidRPr="00C57013" w:rsidRDefault="00C57013" w:rsidP="00C57013">
      <w:pPr>
        <w:rPr>
          <w:rFonts w:asciiTheme="minorHAnsi" w:hAnsiTheme="minorHAnsi" w:cstheme="minorHAnsi"/>
          <w:sz w:val="22"/>
          <w:szCs w:val="22"/>
          <w:lang w:val="en-US"/>
        </w:rPr>
      </w:pPr>
      <w:proofErr w:type="gramStart"/>
      <w:r w:rsidRPr="00C57013">
        <w:rPr>
          <w:rFonts w:asciiTheme="minorHAnsi" w:hAnsiTheme="minorHAnsi" w:cstheme="minorHAnsi"/>
          <w:sz w:val="22"/>
          <w:szCs w:val="22"/>
          <w:lang w:val="en-US"/>
        </w:rPr>
        <w:t>electrical</w:t>
      </w:r>
      <w:proofErr w:type="gramEnd"/>
      <w:r w:rsidRPr="00C57013">
        <w:rPr>
          <w:rFonts w:asciiTheme="minorHAnsi" w:hAnsiTheme="minorHAnsi" w:cstheme="minorHAnsi"/>
          <w:sz w:val="22"/>
          <w:szCs w:val="22"/>
          <w:lang w:val="en-US"/>
        </w:rPr>
        <w:t xml:space="preserve"> cable corresponding to the load section. For self-building stands, an electric cable is provided by the Stand Builder (Participant of the event). The length of the cable provided by the Developer of the stand (Participant of the Event) must be at least 30.0 p. m.</w:t>
      </w:r>
    </w:p>
    <w:p w:rsidR="00C57013" w:rsidRPr="00C57013" w:rsidRDefault="00C57013" w:rsidP="00C57013">
      <w:pPr>
        <w:rPr>
          <w:rFonts w:asciiTheme="minorHAnsi" w:hAnsiTheme="minorHAnsi" w:cstheme="minorHAnsi"/>
          <w:sz w:val="22"/>
          <w:szCs w:val="22"/>
          <w:lang w:val="en-US"/>
        </w:rPr>
      </w:pPr>
      <w:r w:rsidRPr="00FF0AE1">
        <w:rPr>
          <w:b/>
          <w:color w:val="FF0000"/>
          <w:kern w:val="1"/>
          <w:sz w:val="28"/>
          <w:szCs w:val="28"/>
          <w:lang w:val="en-US"/>
        </w:rPr>
        <w:t>***</w:t>
      </w:r>
      <w:r w:rsidRPr="00C57013">
        <w:rPr>
          <w:rFonts w:asciiTheme="minorHAnsi" w:hAnsiTheme="minorHAnsi" w:cstheme="minorHAnsi"/>
          <w:sz w:val="22"/>
          <w:szCs w:val="22"/>
          <w:lang w:val="en-US"/>
        </w:rPr>
        <w:t xml:space="preserve"> The tariff includes the cost of water supply and drainage. Connections up to 10.0 p. m (inclusive) are made by hoses provided at no extra charge. If the connection length exceeds 10.0 p. m, then a hose of the required length is provided to the Participant for rent.</w:t>
      </w:r>
    </w:p>
    <w:p w:rsidR="006250A7" w:rsidRPr="00C57013" w:rsidRDefault="006250A7">
      <w:pPr>
        <w:rPr>
          <w:rFonts w:asciiTheme="minorHAnsi" w:hAnsiTheme="minorHAnsi" w:cstheme="minorHAnsi"/>
          <w:sz w:val="22"/>
          <w:szCs w:val="22"/>
          <w:lang w:val="en-US"/>
        </w:rPr>
      </w:pPr>
    </w:p>
    <w:p w:rsidR="006250A7" w:rsidRPr="0023225F" w:rsidRDefault="006250A7" w:rsidP="006250A7">
      <w:pPr>
        <w:tabs>
          <w:tab w:val="left" w:pos="1425"/>
        </w:tabs>
        <w:jc w:val="both"/>
        <w:rPr>
          <w:rFonts w:asciiTheme="minorHAnsi" w:hAnsiTheme="minorHAnsi" w:cstheme="minorHAnsi"/>
          <w:color w:val="000000"/>
          <w:sz w:val="22"/>
          <w:szCs w:val="22"/>
          <w:lang w:val="en-US"/>
        </w:rPr>
      </w:pPr>
      <w:r w:rsidRPr="0023225F">
        <w:rPr>
          <w:rFonts w:asciiTheme="minorHAnsi" w:hAnsiTheme="minorHAnsi" w:cstheme="minorHAnsi"/>
          <w:sz w:val="22"/>
          <w:szCs w:val="22"/>
          <w:lang w:val="en-US"/>
        </w:rPr>
        <w:t xml:space="preserve">General Director:     </w:t>
      </w:r>
      <w:r w:rsidRPr="0023225F">
        <w:rPr>
          <w:rFonts w:asciiTheme="minorHAnsi" w:hAnsiTheme="minorHAnsi" w:cstheme="minorHAnsi"/>
          <w:color w:val="000000"/>
          <w:sz w:val="22"/>
          <w:szCs w:val="22"/>
          <w:lang w:val="en-US"/>
        </w:rPr>
        <w:tab/>
        <w:t>_______________________</w:t>
      </w:r>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t>_______________________</w:t>
      </w:r>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t xml:space="preserve">              </w:t>
      </w:r>
    </w:p>
    <w:p w:rsidR="006250A7" w:rsidRPr="0023225F" w:rsidRDefault="006250A7" w:rsidP="006250A7">
      <w:pPr>
        <w:tabs>
          <w:tab w:val="left" w:pos="1425"/>
        </w:tabs>
        <w:jc w:val="both"/>
        <w:rPr>
          <w:rFonts w:asciiTheme="minorHAnsi" w:hAnsiTheme="minorHAnsi" w:cstheme="minorHAnsi"/>
          <w:color w:val="000000"/>
          <w:sz w:val="22"/>
          <w:szCs w:val="22"/>
          <w:lang w:val="en-US"/>
        </w:rPr>
      </w:pPr>
      <w:r w:rsidRPr="0023225F">
        <w:rPr>
          <w:rFonts w:asciiTheme="minorHAnsi" w:hAnsiTheme="minorHAnsi" w:cstheme="minorHAnsi"/>
          <w:color w:val="000000"/>
          <w:sz w:val="22"/>
          <w:szCs w:val="22"/>
          <w:lang w:val="en-US"/>
        </w:rPr>
        <w:t xml:space="preserve">                                            </w:t>
      </w:r>
      <w:proofErr w:type="gramStart"/>
      <w:r w:rsidRPr="0023225F">
        <w:rPr>
          <w:rFonts w:asciiTheme="minorHAnsi" w:hAnsiTheme="minorHAnsi" w:cstheme="minorHAnsi"/>
          <w:color w:val="000000"/>
          <w:sz w:val="22"/>
          <w:szCs w:val="22"/>
          <w:lang w:val="en-US"/>
        </w:rPr>
        <w:t>signature</w:t>
      </w:r>
      <w:proofErr w:type="gramEnd"/>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t>Name</w:t>
      </w:r>
    </w:p>
    <w:p w:rsidR="006250A7" w:rsidRPr="0023225F" w:rsidRDefault="006250A7" w:rsidP="006250A7">
      <w:pPr>
        <w:rPr>
          <w:rFonts w:asciiTheme="minorHAnsi" w:hAnsiTheme="minorHAnsi" w:cstheme="minorHAnsi"/>
          <w:color w:val="000000"/>
          <w:sz w:val="22"/>
          <w:szCs w:val="22"/>
          <w:lang w:val="en-US"/>
        </w:rPr>
      </w:pPr>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t xml:space="preserve">          </w:t>
      </w:r>
    </w:p>
    <w:p w:rsidR="006250A7" w:rsidRPr="00FF0AE1" w:rsidRDefault="006250A7" w:rsidP="006250A7">
      <w:pPr>
        <w:rPr>
          <w:rFonts w:asciiTheme="minorHAnsi" w:hAnsiTheme="minorHAnsi" w:cstheme="minorHAnsi"/>
          <w:color w:val="000000"/>
          <w:sz w:val="22"/>
          <w:szCs w:val="22"/>
          <w:lang w:val="en-US"/>
        </w:rPr>
      </w:pPr>
      <w:r w:rsidRPr="0023225F">
        <w:rPr>
          <w:rFonts w:asciiTheme="minorHAnsi" w:hAnsiTheme="minorHAnsi" w:cstheme="minorHAnsi"/>
          <w:color w:val="000000"/>
          <w:sz w:val="22"/>
          <w:szCs w:val="22"/>
          <w:lang w:val="en-US"/>
        </w:rPr>
        <w:t xml:space="preserve">                                                                                                                                                                 </w:t>
      </w:r>
      <w:r w:rsidRPr="0023225F">
        <w:rPr>
          <w:rFonts w:asciiTheme="minorHAnsi" w:hAnsiTheme="minorHAnsi" w:cstheme="minorHAnsi"/>
          <w:color w:val="000000"/>
          <w:sz w:val="22"/>
          <w:szCs w:val="22"/>
          <w:lang w:val="en-US"/>
        </w:rPr>
        <w:tab/>
      </w:r>
      <w:r w:rsidRPr="0023225F">
        <w:rPr>
          <w:rFonts w:asciiTheme="minorHAnsi" w:hAnsiTheme="minorHAnsi" w:cstheme="minorHAnsi"/>
          <w:color w:val="000000"/>
          <w:sz w:val="22"/>
          <w:szCs w:val="22"/>
          <w:lang w:val="en-US"/>
        </w:rPr>
        <w:tab/>
      </w:r>
      <w:r w:rsidRPr="00FF0AE1">
        <w:rPr>
          <w:rFonts w:asciiTheme="minorHAnsi" w:hAnsiTheme="minorHAnsi" w:cstheme="minorHAnsi"/>
          <w:color w:val="000000"/>
          <w:sz w:val="22"/>
          <w:szCs w:val="22"/>
          <w:lang w:val="en-US"/>
        </w:rPr>
        <w:t xml:space="preserve">«       »____________20_____ </w:t>
      </w:r>
    </w:p>
    <w:p w:rsidR="006250A7" w:rsidRPr="00FF0AE1" w:rsidRDefault="006250A7" w:rsidP="006250A7">
      <w:pPr>
        <w:rPr>
          <w:rFonts w:asciiTheme="minorHAnsi" w:hAnsiTheme="minorHAnsi" w:cstheme="minorHAnsi"/>
          <w:color w:val="000000"/>
          <w:sz w:val="22"/>
          <w:szCs w:val="22"/>
          <w:lang w:val="en-US"/>
        </w:rPr>
      </w:pPr>
    </w:p>
    <w:p w:rsidR="006250A7" w:rsidRPr="00FF0AE1" w:rsidRDefault="006250A7" w:rsidP="006250A7">
      <w:pPr>
        <w:rPr>
          <w:rFonts w:asciiTheme="minorHAnsi" w:hAnsiTheme="minorHAnsi" w:cstheme="minorHAnsi"/>
          <w:b/>
          <w:color w:val="000000"/>
          <w:sz w:val="22"/>
          <w:szCs w:val="22"/>
          <w:lang w:val="en-US"/>
        </w:rPr>
      </w:pPr>
    </w:p>
    <w:p w:rsidR="006250A7" w:rsidRPr="0023225F" w:rsidRDefault="006250A7" w:rsidP="006250A7">
      <w:pPr>
        <w:rPr>
          <w:rFonts w:asciiTheme="minorHAnsi" w:hAnsiTheme="minorHAnsi" w:cstheme="minorHAnsi"/>
          <w:b/>
          <w:color w:val="000000"/>
          <w:sz w:val="22"/>
          <w:szCs w:val="22"/>
          <w:lang w:val="en-US"/>
        </w:rPr>
      </w:pPr>
      <w:r w:rsidRPr="0023225F">
        <w:rPr>
          <w:rFonts w:asciiTheme="minorHAnsi" w:hAnsiTheme="minorHAnsi" w:cstheme="minorHAnsi"/>
          <w:b/>
          <w:color w:val="000000"/>
          <w:sz w:val="22"/>
          <w:szCs w:val="22"/>
          <w:lang w:val="en-US"/>
        </w:rPr>
        <w:t>*</w:t>
      </w:r>
      <w:r w:rsidRPr="0023225F">
        <w:rPr>
          <w:rFonts w:asciiTheme="minorHAnsi" w:hAnsiTheme="minorHAnsi" w:cstheme="minorHAnsi"/>
          <w:sz w:val="22"/>
          <w:szCs w:val="22"/>
          <w:lang w:val="en-US"/>
        </w:rPr>
        <w:t xml:space="preserve"> </w:t>
      </w:r>
      <w:r w:rsidRPr="0023225F">
        <w:rPr>
          <w:rFonts w:asciiTheme="minorHAnsi" w:hAnsiTheme="minorHAnsi" w:cstheme="minorHAnsi"/>
          <w:b/>
          <w:color w:val="000000"/>
          <w:sz w:val="22"/>
          <w:szCs w:val="22"/>
          <w:lang w:val="en-US"/>
        </w:rPr>
        <w:t>All services rendered are not subject to VAT.</w:t>
      </w:r>
    </w:p>
    <w:p w:rsidR="00455E21" w:rsidRPr="0023225F" w:rsidRDefault="00455E21">
      <w:pPr>
        <w:rPr>
          <w:rFonts w:asciiTheme="minorHAnsi" w:hAnsiTheme="minorHAnsi" w:cstheme="minorHAnsi"/>
          <w:sz w:val="22"/>
          <w:szCs w:val="22"/>
          <w:lang w:val="en-US"/>
        </w:rPr>
      </w:pPr>
    </w:p>
    <w:sectPr w:rsidR="00455E21" w:rsidRPr="0023225F" w:rsidSect="00301CF5">
      <w:headerReference w:type="default" r:id="rId8"/>
      <w:pgSz w:w="16838" w:h="11906" w:orient="landscape"/>
      <w:pgMar w:top="39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01" w:rsidRDefault="00710201" w:rsidP="007206EC">
      <w:r>
        <w:separator/>
      </w:r>
    </w:p>
  </w:endnote>
  <w:endnote w:type="continuationSeparator" w:id="0">
    <w:p w:rsidR="00710201" w:rsidRDefault="00710201" w:rsidP="0072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01" w:rsidRDefault="00710201" w:rsidP="007206EC">
      <w:r>
        <w:separator/>
      </w:r>
    </w:p>
  </w:footnote>
  <w:footnote w:type="continuationSeparator" w:id="0">
    <w:p w:rsidR="00710201" w:rsidRDefault="00710201" w:rsidP="0072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51267"/>
      <w:docPartObj>
        <w:docPartGallery w:val="Page Numbers (Top of Page)"/>
        <w:docPartUnique/>
      </w:docPartObj>
    </w:sdtPr>
    <w:sdtEndPr/>
    <w:sdtContent>
      <w:p w:rsidR="004A442A" w:rsidRDefault="004A442A">
        <w:pPr>
          <w:pStyle w:val="a6"/>
          <w:jc w:val="right"/>
        </w:pPr>
        <w:r>
          <w:fldChar w:fldCharType="begin"/>
        </w:r>
        <w:r>
          <w:instrText>PAGE   \* MERGEFORMAT</w:instrText>
        </w:r>
        <w:r>
          <w:fldChar w:fldCharType="separate"/>
        </w:r>
        <w:r w:rsidR="00FF0AE1">
          <w:rPr>
            <w:noProof/>
          </w:rPr>
          <w:t>2</w:t>
        </w:r>
        <w:r>
          <w:fldChar w:fldCharType="end"/>
        </w:r>
      </w:p>
    </w:sdtContent>
  </w:sdt>
  <w:p w:rsidR="004A442A" w:rsidRDefault="004A44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E4"/>
    <w:rsid w:val="000D34A8"/>
    <w:rsid w:val="000F3902"/>
    <w:rsid w:val="001E52FB"/>
    <w:rsid w:val="001F72B0"/>
    <w:rsid w:val="00224BDE"/>
    <w:rsid w:val="0023225F"/>
    <w:rsid w:val="00301CF5"/>
    <w:rsid w:val="00375E7A"/>
    <w:rsid w:val="003B4BA3"/>
    <w:rsid w:val="0045138B"/>
    <w:rsid w:val="004542CC"/>
    <w:rsid w:val="00455E21"/>
    <w:rsid w:val="00473121"/>
    <w:rsid w:val="0047643F"/>
    <w:rsid w:val="004A442A"/>
    <w:rsid w:val="004F7293"/>
    <w:rsid w:val="00561A8F"/>
    <w:rsid w:val="005942DA"/>
    <w:rsid w:val="005A636E"/>
    <w:rsid w:val="005B2D1E"/>
    <w:rsid w:val="005D009A"/>
    <w:rsid w:val="005E0403"/>
    <w:rsid w:val="005E1D65"/>
    <w:rsid w:val="006250A7"/>
    <w:rsid w:val="00660C1E"/>
    <w:rsid w:val="00696BFE"/>
    <w:rsid w:val="00710201"/>
    <w:rsid w:val="007206EC"/>
    <w:rsid w:val="0075056C"/>
    <w:rsid w:val="008D6CC1"/>
    <w:rsid w:val="0090754D"/>
    <w:rsid w:val="009356C3"/>
    <w:rsid w:val="00985573"/>
    <w:rsid w:val="0099084A"/>
    <w:rsid w:val="009A210C"/>
    <w:rsid w:val="009D2280"/>
    <w:rsid w:val="00A159F2"/>
    <w:rsid w:val="00A27CC2"/>
    <w:rsid w:val="00A7379A"/>
    <w:rsid w:val="00A96977"/>
    <w:rsid w:val="00AC3F8F"/>
    <w:rsid w:val="00AF1C6C"/>
    <w:rsid w:val="00B45EE4"/>
    <w:rsid w:val="00BB3A0C"/>
    <w:rsid w:val="00C57013"/>
    <w:rsid w:val="00C72553"/>
    <w:rsid w:val="00C806BD"/>
    <w:rsid w:val="00CF5B35"/>
    <w:rsid w:val="00D3165B"/>
    <w:rsid w:val="00D44ACF"/>
    <w:rsid w:val="00D44B65"/>
    <w:rsid w:val="00D45D70"/>
    <w:rsid w:val="00D547F1"/>
    <w:rsid w:val="00D91EB9"/>
    <w:rsid w:val="00DA1B42"/>
    <w:rsid w:val="00DB31EA"/>
    <w:rsid w:val="00DC629F"/>
    <w:rsid w:val="00DE2C36"/>
    <w:rsid w:val="00E34AE6"/>
    <w:rsid w:val="00E82887"/>
    <w:rsid w:val="00EC2AB1"/>
    <w:rsid w:val="00EE63DB"/>
    <w:rsid w:val="00EF359D"/>
    <w:rsid w:val="00F34DC6"/>
    <w:rsid w:val="00F51F32"/>
    <w:rsid w:val="00FE5676"/>
    <w:rsid w:val="00FF0A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21"/>
    <w:pPr>
      <w:widowControl w:val="0"/>
      <w:suppressAutoHyphens/>
      <w:spacing w:after="0" w:line="240" w:lineRule="auto"/>
    </w:pPr>
    <w:rPr>
      <w:rFonts w:ascii="Times New Roman" w:eastAsia="Andale Sans UI" w:hAnsi="Times New Roman" w:cs="Times New Roman"/>
      <w:kern w:val="2"/>
      <w:sz w:val="24"/>
      <w:szCs w:val="24"/>
      <w:lang w:eastAsia="en-US"/>
    </w:rPr>
  </w:style>
  <w:style w:type="paragraph" w:styleId="1">
    <w:name w:val="heading 1"/>
    <w:basedOn w:val="a"/>
    <w:link w:val="10"/>
    <w:uiPriority w:val="9"/>
    <w:qFormat/>
    <w:rsid w:val="00455E21"/>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455E21"/>
    <w:pPr>
      <w:keepNext/>
      <w:keepLines/>
      <w:widowControl/>
      <w:suppressAutoHyphens w:val="0"/>
      <w:spacing w:before="40" w:line="256" w:lineRule="auto"/>
      <w:outlineLvl w:val="1"/>
    </w:pPr>
    <w:rPr>
      <w:rFonts w:asciiTheme="majorHAnsi" w:eastAsiaTheme="majorEastAsia" w:hAnsiTheme="majorHAnsi" w:cstheme="majorBidi"/>
      <w:color w:val="2E74B5" w:themeColor="accent1" w:themeShade="BF"/>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E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55E21"/>
    <w:rPr>
      <w:rFonts w:asciiTheme="majorHAnsi" w:eastAsiaTheme="majorEastAsia" w:hAnsiTheme="majorHAnsi" w:cstheme="majorBidi"/>
      <w:color w:val="2E74B5" w:themeColor="accent1" w:themeShade="BF"/>
      <w:sz w:val="26"/>
      <w:szCs w:val="26"/>
      <w:lang w:eastAsia="en-US"/>
    </w:rPr>
  </w:style>
  <w:style w:type="character" w:styleId="a3">
    <w:name w:val="Hyperlink"/>
    <w:basedOn w:val="a0"/>
    <w:uiPriority w:val="99"/>
    <w:semiHidden/>
    <w:unhideWhenUsed/>
    <w:rsid w:val="00455E21"/>
    <w:rPr>
      <w:color w:val="0000FF"/>
      <w:u w:val="single"/>
    </w:rPr>
  </w:style>
  <w:style w:type="character" w:styleId="a4">
    <w:name w:val="FollowedHyperlink"/>
    <w:basedOn w:val="a0"/>
    <w:uiPriority w:val="99"/>
    <w:semiHidden/>
    <w:unhideWhenUsed/>
    <w:rsid w:val="00455E21"/>
    <w:rPr>
      <w:color w:val="800080"/>
      <w:u w:val="single"/>
    </w:rPr>
  </w:style>
  <w:style w:type="paragraph" w:styleId="a5">
    <w:name w:val="Normal (Web)"/>
    <w:basedOn w:val="a"/>
    <w:uiPriority w:val="99"/>
    <w:semiHidden/>
    <w:unhideWhenUsed/>
    <w:rsid w:val="00455E21"/>
    <w:pPr>
      <w:widowControl/>
      <w:suppressAutoHyphens w:val="0"/>
      <w:spacing w:before="100" w:beforeAutospacing="1" w:after="100" w:afterAutospacing="1"/>
    </w:pPr>
    <w:rPr>
      <w:rFonts w:eastAsia="Times New Roman"/>
      <w:kern w:val="0"/>
      <w:lang w:eastAsia="ru-RU"/>
    </w:rPr>
  </w:style>
  <w:style w:type="paragraph" w:styleId="a6">
    <w:name w:val="header"/>
    <w:basedOn w:val="a"/>
    <w:link w:val="a7"/>
    <w:uiPriority w:val="99"/>
    <w:unhideWhenUsed/>
    <w:rsid w:val="00455E21"/>
    <w:pPr>
      <w:tabs>
        <w:tab w:val="center" w:pos="4677"/>
        <w:tab w:val="right" w:pos="9355"/>
      </w:tabs>
    </w:pPr>
  </w:style>
  <w:style w:type="character" w:customStyle="1" w:styleId="a7">
    <w:name w:val="Верхний колонтитул Знак"/>
    <w:basedOn w:val="a0"/>
    <w:link w:val="a6"/>
    <w:uiPriority w:val="99"/>
    <w:rsid w:val="00455E21"/>
    <w:rPr>
      <w:rFonts w:ascii="Times New Roman" w:eastAsia="Andale Sans UI" w:hAnsi="Times New Roman" w:cs="Times New Roman"/>
      <w:kern w:val="2"/>
      <w:sz w:val="24"/>
      <w:szCs w:val="24"/>
      <w:lang w:eastAsia="en-US"/>
    </w:rPr>
  </w:style>
  <w:style w:type="paragraph" w:styleId="a8">
    <w:name w:val="footer"/>
    <w:basedOn w:val="a"/>
    <w:link w:val="a9"/>
    <w:uiPriority w:val="99"/>
    <w:unhideWhenUsed/>
    <w:rsid w:val="00455E21"/>
    <w:pPr>
      <w:tabs>
        <w:tab w:val="center" w:pos="4677"/>
        <w:tab w:val="right" w:pos="9355"/>
      </w:tabs>
    </w:pPr>
  </w:style>
  <w:style w:type="character" w:customStyle="1" w:styleId="a9">
    <w:name w:val="Нижний колонтитул Знак"/>
    <w:basedOn w:val="a0"/>
    <w:link w:val="a8"/>
    <w:uiPriority w:val="99"/>
    <w:rsid w:val="00455E21"/>
    <w:rPr>
      <w:rFonts w:ascii="Times New Roman" w:eastAsia="Andale Sans UI" w:hAnsi="Times New Roman" w:cs="Times New Roman"/>
      <w:kern w:val="2"/>
      <w:sz w:val="24"/>
      <w:szCs w:val="24"/>
      <w:lang w:eastAsia="en-US"/>
    </w:rPr>
  </w:style>
  <w:style w:type="paragraph" w:styleId="aa">
    <w:name w:val="Balloon Text"/>
    <w:basedOn w:val="a"/>
    <w:link w:val="ab"/>
    <w:uiPriority w:val="99"/>
    <w:semiHidden/>
    <w:unhideWhenUsed/>
    <w:rsid w:val="00455E21"/>
    <w:pPr>
      <w:widowControl/>
      <w:suppressAutoHyphens w:val="0"/>
    </w:pPr>
    <w:rPr>
      <w:rFonts w:ascii="Segoe UI" w:eastAsiaTheme="minorHAnsi" w:hAnsi="Segoe UI" w:cs="Segoe UI"/>
      <w:kern w:val="0"/>
      <w:sz w:val="18"/>
      <w:szCs w:val="18"/>
    </w:rPr>
  </w:style>
  <w:style w:type="character" w:customStyle="1" w:styleId="ab">
    <w:name w:val="Текст выноски Знак"/>
    <w:basedOn w:val="a0"/>
    <w:link w:val="aa"/>
    <w:uiPriority w:val="99"/>
    <w:semiHidden/>
    <w:rsid w:val="00455E21"/>
    <w:rPr>
      <w:rFonts w:ascii="Segoe UI" w:eastAsiaTheme="minorHAnsi" w:hAnsi="Segoe UI" w:cs="Segoe UI"/>
      <w:sz w:val="18"/>
      <w:szCs w:val="18"/>
      <w:lang w:eastAsia="en-US"/>
    </w:rPr>
  </w:style>
  <w:style w:type="paragraph" w:customStyle="1" w:styleId="ac">
    <w:name w:val="Содержимое таблицы"/>
    <w:basedOn w:val="a"/>
    <w:uiPriority w:val="99"/>
    <w:semiHidden/>
    <w:rsid w:val="00455E21"/>
    <w:pPr>
      <w:suppressLineNumbers/>
    </w:pPr>
  </w:style>
  <w:style w:type="paragraph" w:customStyle="1" w:styleId="msonormal0">
    <w:name w:val="msonormal"/>
    <w:basedOn w:val="a"/>
    <w:uiPriority w:val="99"/>
    <w:semiHidden/>
    <w:rsid w:val="00455E21"/>
    <w:pPr>
      <w:widowControl/>
      <w:suppressAutoHyphens w:val="0"/>
      <w:spacing w:before="100" w:beforeAutospacing="1" w:after="100" w:afterAutospacing="1"/>
    </w:pPr>
    <w:rPr>
      <w:rFonts w:eastAsia="Times New Roman"/>
      <w:kern w:val="0"/>
      <w:lang w:eastAsia="ru-RU"/>
    </w:rPr>
  </w:style>
  <w:style w:type="paragraph" w:customStyle="1" w:styleId="xl67">
    <w:name w:val="xl67"/>
    <w:basedOn w:val="a"/>
    <w:uiPriority w:val="99"/>
    <w:semiHidden/>
    <w:rsid w:val="00455E21"/>
    <w:pPr>
      <w:widowControl/>
      <w:suppressAutoHyphens w:val="0"/>
      <w:spacing w:before="100" w:beforeAutospacing="1" w:after="100" w:afterAutospacing="1"/>
    </w:pPr>
    <w:rPr>
      <w:rFonts w:ascii="Arial Narrow" w:eastAsia="Times New Roman" w:hAnsi="Arial Narrow"/>
      <w:kern w:val="0"/>
      <w:lang w:eastAsia="ru-RU"/>
    </w:rPr>
  </w:style>
  <w:style w:type="paragraph" w:customStyle="1" w:styleId="xl68">
    <w:name w:val="xl68"/>
    <w:basedOn w:val="a"/>
    <w:uiPriority w:val="99"/>
    <w:semiHidden/>
    <w:rsid w:val="00455E21"/>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69">
    <w:name w:val="xl69"/>
    <w:basedOn w:val="a"/>
    <w:uiPriority w:val="99"/>
    <w:semiHidden/>
    <w:rsid w:val="00455E2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0">
    <w:name w:val="xl70"/>
    <w:basedOn w:val="a"/>
    <w:uiPriority w:val="99"/>
    <w:semiHidden/>
    <w:rsid w:val="00455E2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eastAsia="Times New Roman" w:hAnsi="Arial Narrow"/>
      <w:kern w:val="0"/>
      <w:lang w:eastAsia="ru-RU"/>
    </w:rPr>
  </w:style>
  <w:style w:type="paragraph" w:customStyle="1" w:styleId="xl71">
    <w:name w:val="xl71"/>
    <w:basedOn w:val="a"/>
    <w:uiPriority w:val="99"/>
    <w:semiHidden/>
    <w:rsid w:val="00455E2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eastAsia="Times New Roman" w:hAnsi="Arial Narrow"/>
      <w:kern w:val="0"/>
      <w:lang w:eastAsia="ru-RU"/>
    </w:rPr>
  </w:style>
  <w:style w:type="paragraph" w:customStyle="1" w:styleId="xl72">
    <w:name w:val="xl72"/>
    <w:basedOn w:val="a"/>
    <w:uiPriority w:val="99"/>
    <w:semiHidden/>
    <w:rsid w:val="00455E2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73">
    <w:name w:val="xl73"/>
    <w:basedOn w:val="a"/>
    <w:uiPriority w:val="99"/>
    <w:semiHidden/>
    <w:rsid w:val="00455E21"/>
    <w:pPr>
      <w:widowControl/>
      <w:pBdr>
        <w:left w:val="single" w:sz="8" w:space="0" w:color="auto"/>
      </w:pBdr>
      <w:suppressAutoHyphens w:val="0"/>
      <w:spacing w:before="100" w:beforeAutospacing="1" w:after="100" w:afterAutospacing="1"/>
    </w:pPr>
    <w:rPr>
      <w:rFonts w:ascii="Arial Narrow" w:eastAsia="Times New Roman" w:hAnsi="Arial Narrow"/>
      <w:kern w:val="0"/>
      <w:lang w:eastAsia="ru-RU"/>
    </w:rPr>
  </w:style>
  <w:style w:type="paragraph" w:customStyle="1" w:styleId="xl74">
    <w:name w:val="xl74"/>
    <w:basedOn w:val="a"/>
    <w:uiPriority w:val="99"/>
    <w:semiHidden/>
    <w:rsid w:val="00455E21"/>
    <w:pPr>
      <w:widowControl/>
      <w:pBdr>
        <w:top w:val="single" w:sz="4" w:space="0" w:color="auto"/>
        <w:left w:val="single" w:sz="8"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5">
    <w:name w:val="xl75"/>
    <w:basedOn w:val="a"/>
    <w:uiPriority w:val="99"/>
    <w:semiHidden/>
    <w:rsid w:val="00455E21"/>
    <w:pPr>
      <w:widowControl/>
      <w:pBdr>
        <w:left w:val="single" w:sz="8"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6">
    <w:name w:val="xl76"/>
    <w:basedOn w:val="a"/>
    <w:uiPriority w:val="99"/>
    <w:semiHidden/>
    <w:rsid w:val="00455E21"/>
    <w:pPr>
      <w:widowControl/>
      <w:pBdr>
        <w:left w:val="single" w:sz="8"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7">
    <w:name w:val="xl77"/>
    <w:basedOn w:val="a"/>
    <w:uiPriority w:val="99"/>
    <w:semiHidden/>
    <w:rsid w:val="00455E21"/>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8">
    <w:name w:val="xl78"/>
    <w:basedOn w:val="a"/>
    <w:uiPriority w:val="99"/>
    <w:semiHidden/>
    <w:rsid w:val="00455E21"/>
    <w:pPr>
      <w:widowControl/>
      <w:pBdr>
        <w:left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9">
    <w:name w:val="xl79"/>
    <w:basedOn w:val="a"/>
    <w:uiPriority w:val="99"/>
    <w:semiHidden/>
    <w:rsid w:val="00455E21"/>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80">
    <w:name w:val="xl80"/>
    <w:basedOn w:val="a"/>
    <w:uiPriority w:val="99"/>
    <w:semiHidden/>
    <w:rsid w:val="00455E21"/>
    <w:pPr>
      <w:widowControl/>
      <w:suppressAutoHyphens w:val="0"/>
      <w:spacing w:before="100" w:beforeAutospacing="1" w:after="100" w:afterAutospacing="1"/>
    </w:pPr>
    <w:rPr>
      <w:rFonts w:ascii="Arial Narrow" w:eastAsia="Times New Roman" w:hAnsi="Arial Narrow"/>
      <w:kern w:val="0"/>
      <w:lang w:eastAsia="ru-RU"/>
    </w:rPr>
  </w:style>
  <w:style w:type="paragraph" w:customStyle="1" w:styleId="xl81">
    <w:name w:val="xl81"/>
    <w:basedOn w:val="a"/>
    <w:uiPriority w:val="99"/>
    <w:semiHidden/>
    <w:rsid w:val="00455E21"/>
    <w:pPr>
      <w:widowControl/>
      <w:pBdr>
        <w:top w:val="single" w:sz="4" w:space="0" w:color="auto"/>
        <w:lef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82">
    <w:name w:val="xl82"/>
    <w:basedOn w:val="a"/>
    <w:uiPriority w:val="99"/>
    <w:semiHidden/>
    <w:rsid w:val="00455E21"/>
    <w:pPr>
      <w:widowControl/>
      <w:pBdr>
        <w:lef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83">
    <w:name w:val="xl83"/>
    <w:basedOn w:val="a"/>
    <w:uiPriority w:val="99"/>
    <w:semiHidden/>
    <w:rsid w:val="00455E21"/>
    <w:pPr>
      <w:widowControl/>
      <w:pBdr>
        <w:left w:val="single" w:sz="4" w:space="0" w:color="auto"/>
        <w:bottom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84">
    <w:name w:val="xl84"/>
    <w:basedOn w:val="a"/>
    <w:uiPriority w:val="99"/>
    <w:semiHidden/>
    <w:rsid w:val="00455E21"/>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Narrow" w:eastAsia="Times New Roman" w:hAnsi="Arial Narrow"/>
      <w:kern w:val="0"/>
      <w:lang w:eastAsia="ru-RU"/>
    </w:rPr>
  </w:style>
  <w:style w:type="paragraph" w:customStyle="1" w:styleId="xl85">
    <w:name w:val="xl85"/>
    <w:basedOn w:val="a"/>
    <w:uiPriority w:val="99"/>
    <w:semiHidden/>
    <w:rsid w:val="00455E21"/>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86">
    <w:name w:val="xl86"/>
    <w:basedOn w:val="a"/>
    <w:uiPriority w:val="99"/>
    <w:semiHidden/>
    <w:rsid w:val="00455E21"/>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Narrow" w:eastAsia="Times New Roman" w:hAnsi="Arial Narrow"/>
      <w:kern w:val="0"/>
      <w:lang w:eastAsia="ru-RU"/>
    </w:rPr>
  </w:style>
  <w:style w:type="paragraph" w:customStyle="1" w:styleId="xl87">
    <w:name w:val="xl87"/>
    <w:basedOn w:val="a"/>
    <w:uiPriority w:val="99"/>
    <w:semiHidden/>
    <w:rsid w:val="00455E21"/>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Narrow" w:eastAsia="Times New Roman" w:hAnsi="Arial Narrow"/>
      <w:kern w:val="0"/>
      <w:lang w:eastAsia="ru-RU"/>
    </w:rPr>
  </w:style>
  <w:style w:type="paragraph" w:customStyle="1" w:styleId="xl88">
    <w:name w:val="xl88"/>
    <w:basedOn w:val="a"/>
    <w:uiPriority w:val="99"/>
    <w:semiHidden/>
    <w:rsid w:val="00455E21"/>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89">
    <w:name w:val="xl89"/>
    <w:basedOn w:val="a"/>
    <w:uiPriority w:val="99"/>
    <w:semiHidden/>
    <w:rsid w:val="00455E21"/>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90">
    <w:name w:val="xl90"/>
    <w:basedOn w:val="a"/>
    <w:uiPriority w:val="99"/>
    <w:semiHidden/>
    <w:rsid w:val="00455E21"/>
    <w:pPr>
      <w:widowControl/>
      <w:shd w:val="clear" w:color="auto" w:fill="FFFFFF"/>
      <w:suppressAutoHyphens w:val="0"/>
      <w:spacing w:before="100" w:beforeAutospacing="1" w:after="100" w:afterAutospacing="1"/>
    </w:pPr>
    <w:rPr>
      <w:rFonts w:ascii="Arial Narrow" w:eastAsia="Times New Roman" w:hAnsi="Arial Narrow"/>
      <w:kern w:val="0"/>
      <w:lang w:eastAsia="ru-RU"/>
    </w:rPr>
  </w:style>
  <w:style w:type="paragraph" w:customStyle="1" w:styleId="xl91">
    <w:name w:val="xl91"/>
    <w:basedOn w:val="a"/>
    <w:uiPriority w:val="99"/>
    <w:semiHidden/>
    <w:rsid w:val="00455E21"/>
    <w:pPr>
      <w:widowControl/>
      <w:shd w:val="clear" w:color="auto" w:fill="FFFFFF"/>
      <w:suppressAutoHyphens w:val="0"/>
      <w:spacing w:before="100" w:beforeAutospacing="1" w:after="100" w:afterAutospacing="1"/>
    </w:pPr>
    <w:rPr>
      <w:rFonts w:ascii="Arial Narrow" w:eastAsia="Times New Roman" w:hAnsi="Arial Narrow"/>
      <w:kern w:val="0"/>
      <w:lang w:eastAsia="ru-RU"/>
    </w:rPr>
  </w:style>
  <w:style w:type="paragraph" w:customStyle="1" w:styleId="xl92">
    <w:name w:val="xl92"/>
    <w:basedOn w:val="a"/>
    <w:uiPriority w:val="99"/>
    <w:semiHidden/>
    <w:rsid w:val="00455E21"/>
    <w:pPr>
      <w:widowControl/>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3">
    <w:name w:val="xl93"/>
    <w:basedOn w:val="a"/>
    <w:uiPriority w:val="99"/>
    <w:semiHidden/>
    <w:rsid w:val="00455E21"/>
    <w:pPr>
      <w:widowControl/>
      <w:pBdr>
        <w:left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4">
    <w:name w:val="xl94"/>
    <w:basedOn w:val="a"/>
    <w:uiPriority w:val="99"/>
    <w:semiHidden/>
    <w:rsid w:val="00455E21"/>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5">
    <w:name w:val="xl95"/>
    <w:basedOn w:val="a"/>
    <w:uiPriority w:val="99"/>
    <w:semiHidden/>
    <w:rsid w:val="00455E21"/>
    <w:pPr>
      <w:widowControl/>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6">
    <w:name w:val="xl96"/>
    <w:basedOn w:val="a"/>
    <w:uiPriority w:val="99"/>
    <w:semiHidden/>
    <w:rsid w:val="00455E21"/>
    <w:pPr>
      <w:widowControl/>
      <w:pBdr>
        <w:left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7">
    <w:name w:val="xl97"/>
    <w:basedOn w:val="a"/>
    <w:uiPriority w:val="99"/>
    <w:semiHidden/>
    <w:rsid w:val="00455E21"/>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font5">
    <w:name w:val="font5"/>
    <w:basedOn w:val="a"/>
    <w:uiPriority w:val="99"/>
    <w:semiHidden/>
    <w:rsid w:val="00455E21"/>
    <w:pPr>
      <w:widowControl/>
      <w:suppressAutoHyphens w:val="0"/>
      <w:spacing w:before="100" w:beforeAutospacing="1" w:after="100" w:afterAutospacing="1"/>
    </w:pPr>
    <w:rPr>
      <w:rFonts w:ascii="Arial Narrow" w:eastAsia="Times New Roman" w:hAnsi="Arial Narrow"/>
      <w:kern w:val="0"/>
      <w:sz w:val="20"/>
      <w:szCs w:val="20"/>
      <w:lang w:eastAsia="zh-CN"/>
    </w:rPr>
  </w:style>
  <w:style w:type="paragraph" w:customStyle="1" w:styleId="font6">
    <w:name w:val="font6"/>
    <w:basedOn w:val="a"/>
    <w:uiPriority w:val="99"/>
    <w:semiHidden/>
    <w:rsid w:val="00455E21"/>
    <w:pPr>
      <w:widowControl/>
      <w:suppressAutoHyphens w:val="0"/>
      <w:spacing w:before="100" w:beforeAutospacing="1" w:after="100" w:afterAutospacing="1"/>
    </w:pPr>
    <w:rPr>
      <w:rFonts w:ascii="Calibri" w:eastAsia="Times New Roman" w:hAnsi="Calibri" w:cs="Calibri"/>
      <w:kern w:val="0"/>
      <w:sz w:val="20"/>
      <w:szCs w:val="20"/>
      <w:lang w:eastAsia="zh-CN"/>
    </w:rPr>
  </w:style>
  <w:style w:type="character" w:customStyle="1" w:styleId="b-stopvehicle-name">
    <w:name w:val="b-stop__vehicle-name"/>
    <w:basedOn w:val="a0"/>
    <w:rsid w:val="00455E21"/>
  </w:style>
  <w:style w:type="character" w:customStyle="1" w:styleId="b-linkinner">
    <w:name w:val="b-link__inner"/>
    <w:basedOn w:val="a0"/>
    <w:rsid w:val="00455E21"/>
  </w:style>
  <w:style w:type="character" w:customStyle="1" w:styleId="b-route-segmentpoint-title">
    <w:name w:val="b-route-segment__point-title"/>
    <w:basedOn w:val="a0"/>
    <w:rsid w:val="00455E21"/>
  </w:style>
  <w:style w:type="character" w:customStyle="1" w:styleId="apple-converted-space">
    <w:name w:val="apple-converted-space"/>
    <w:basedOn w:val="a0"/>
    <w:rsid w:val="00455E21"/>
  </w:style>
  <w:style w:type="paragraph" w:customStyle="1" w:styleId="228bf8a64b8551e1msonormal">
    <w:name w:val="228bf8a64b8551e1msonormal"/>
    <w:basedOn w:val="a"/>
    <w:rsid w:val="009A210C"/>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21"/>
    <w:pPr>
      <w:widowControl w:val="0"/>
      <w:suppressAutoHyphens/>
      <w:spacing w:after="0" w:line="240" w:lineRule="auto"/>
    </w:pPr>
    <w:rPr>
      <w:rFonts w:ascii="Times New Roman" w:eastAsia="Andale Sans UI" w:hAnsi="Times New Roman" w:cs="Times New Roman"/>
      <w:kern w:val="2"/>
      <w:sz w:val="24"/>
      <w:szCs w:val="24"/>
      <w:lang w:eastAsia="en-US"/>
    </w:rPr>
  </w:style>
  <w:style w:type="paragraph" w:styleId="1">
    <w:name w:val="heading 1"/>
    <w:basedOn w:val="a"/>
    <w:link w:val="10"/>
    <w:uiPriority w:val="9"/>
    <w:qFormat/>
    <w:rsid w:val="00455E21"/>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455E21"/>
    <w:pPr>
      <w:keepNext/>
      <w:keepLines/>
      <w:widowControl/>
      <w:suppressAutoHyphens w:val="0"/>
      <w:spacing w:before="40" w:line="256" w:lineRule="auto"/>
      <w:outlineLvl w:val="1"/>
    </w:pPr>
    <w:rPr>
      <w:rFonts w:asciiTheme="majorHAnsi" w:eastAsiaTheme="majorEastAsia" w:hAnsiTheme="majorHAnsi" w:cstheme="majorBidi"/>
      <w:color w:val="2E74B5" w:themeColor="accent1" w:themeShade="BF"/>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E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55E21"/>
    <w:rPr>
      <w:rFonts w:asciiTheme="majorHAnsi" w:eastAsiaTheme="majorEastAsia" w:hAnsiTheme="majorHAnsi" w:cstheme="majorBidi"/>
      <w:color w:val="2E74B5" w:themeColor="accent1" w:themeShade="BF"/>
      <w:sz w:val="26"/>
      <w:szCs w:val="26"/>
      <w:lang w:eastAsia="en-US"/>
    </w:rPr>
  </w:style>
  <w:style w:type="character" w:styleId="a3">
    <w:name w:val="Hyperlink"/>
    <w:basedOn w:val="a0"/>
    <w:uiPriority w:val="99"/>
    <w:semiHidden/>
    <w:unhideWhenUsed/>
    <w:rsid w:val="00455E21"/>
    <w:rPr>
      <w:color w:val="0000FF"/>
      <w:u w:val="single"/>
    </w:rPr>
  </w:style>
  <w:style w:type="character" w:styleId="a4">
    <w:name w:val="FollowedHyperlink"/>
    <w:basedOn w:val="a0"/>
    <w:uiPriority w:val="99"/>
    <w:semiHidden/>
    <w:unhideWhenUsed/>
    <w:rsid w:val="00455E21"/>
    <w:rPr>
      <w:color w:val="800080"/>
      <w:u w:val="single"/>
    </w:rPr>
  </w:style>
  <w:style w:type="paragraph" w:styleId="a5">
    <w:name w:val="Normal (Web)"/>
    <w:basedOn w:val="a"/>
    <w:uiPriority w:val="99"/>
    <w:semiHidden/>
    <w:unhideWhenUsed/>
    <w:rsid w:val="00455E21"/>
    <w:pPr>
      <w:widowControl/>
      <w:suppressAutoHyphens w:val="0"/>
      <w:spacing w:before="100" w:beforeAutospacing="1" w:after="100" w:afterAutospacing="1"/>
    </w:pPr>
    <w:rPr>
      <w:rFonts w:eastAsia="Times New Roman"/>
      <w:kern w:val="0"/>
      <w:lang w:eastAsia="ru-RU"/>
    </w:rPr>
  </w:style>
  <w:style w:type="paragraph" w:styleId="a6">
    <w:name w:val="header"/>
    <w:basedOn w:val="a"/>
    <w:link w:val="a7"/>
    <w:uiPriority w:val="99"/>
    <w:unhideWhenUsed/>
    <w:rsid w:val="00455E21"/>
    <w:pPr>
      <w:tabs>
        <w:tab w:val="center" w:pos="4677"/>
        <w:tab w:val="right" w:pos="9355"/>
      </w:tabs>
    </w:pPr>
  </w:style>
  <w:style w:type="character" w:customStyle="1" w:styleId="a7">
    <w:name w:val="Верхний колонтитул Знак"/>
    <w:basedOn w:val="a0"/>
    <w:link w:val="a6"/>
    <w:uiPriority w:val="99"/>
    <w:rsid w:val="00455E21"/>
    <w:rPr>
      <w:rFonts w:ascii="Times New Roman" w:eastAsia="Andale Sans UI" w:hAnsi="Times New Roman" w:cs="Times New Roman"/>
      <w:kern w:val="2"/>
      <w:sz w:val="24"/>
      <w:szCs w:val="24"/>
      <w:lang w:eastAsia="en-US"/>
    </w:rPr>
  </w:style>
  <w:style w:type="paragraph" w:styleId="a8">
    <w:name w:val="footer"/>
    <w:basedOn w:val="a"/>
    <w:link w:val="a9"/>
    <w:uiPriority w:val="99"/>
    <w:unhideWhenUsed/>
    <w:rsid w:val="00455E21"/>
    <w:pPr>
      <w:tabs>
        <w:tab w:val="center" w:pos="4677"/>
        <w:tab w:val="right" w:pos="9355"/>
      </w:tabs>
    </w:pPr>
  </w:style>
  <w:style w:type="character" w:customStyle="1" w:styleId="a9">
    <w:name w:val="Нижний колонтитул Знак"/>
    <w:basedOn w:val="a0"/>
    <w:link w:val="a8"/>
    <w:uiPriority w:val="99"/>
    <w:rsid w:val="00455E21"/>
    <w:rPr>
      <w:rFonts w:ascii="Times New Roman" w:eastAsia="Andale Sans UI" w:hAnsi="Times New Roman" w:cs="Times New Roman"/>
      <w:kern w:val="2"/>
      <w:sz w:val="24"/>
      <w:szCs w:val="24"/>
      <w:lang w:eastAsia="en-US"/>
    </w:rPr>
  </w:style>
  <w:style w:type="paragraph" w:styleId="aa">
    <w:name w:val="Balloon Text"/>
    <w:basedOn w:val="a"/>
    <w:link w:val="ab"/>
    <w:uiPriority w:val="99"/>
    <w:semiHidden/>
    <w:unhideWhenUsed/>
    <w:rsid w:val="00455E21"/>
    <w:pPr>
      <w:widowControl/>
      <w:suppressAutoHyphens w:val="0"/>
    </w:pPr>
    <w:rPr>
      <w:rFonts w:ascii="Segoe UI" w:eastAsiaTheme="minorHAnsi" w:hAnsi="Segoe UI" w:cs="Segoe UI"/>
      <w:kern w:val="0"/>
      <w:sz w:val="18"/>
      <w:szCs w:val="18"/>
    </w:rPr>
  </w:style>
  <w:style w:type="character" w:customStyle="1" w:styleId="ab">
    <w:name w:val="Текст выноски Знак"/>
    <w:basedOn w:val="a0"/>
    <w:link w:val="aa"/>
    <w:uiPriority w:val="99"/>
    <w:semiHidden/>
    <w:rsid w:val="00455E21"/>
    <w:rPr>
      <w:rFonts w:ascii="Segoe UI" w:eastAsiaTheme="minorHAnsi" w:hAnsi="Segoe UI" w:cs="Segoe UI"/>
      <w:sz w:val="18"/>
      <w:szCs w:val="18"/>
      <w:lang w:eastAsia="en-US"/>
    </w:rPr>
  </w:style>
  <w:style w:type="paragraph" w:customStyle="1" w:styleId="ac">
    <w:name w:val="Содержимое таблицы"/>
    <w:basedOn w:val="a"/>
    <w:uiPriority w:val="99"/>
    <w:semiHidden/>
    <w:rsid w:val="00455E21"/>
    <w:pPr>
      <w:suppressLineNumbers/>
    </w:pPr>
  </w:style>
  <w:style w:type="paragraph" w:customStyle="1" w:styleId="msonormal0">
    <w:name w:val="msonormal"/>
    <w:basedOn w:val="a"/>
    <w:uiPriority w:val="99"/>
    <w:semiHidden/>
    <w:rsid w:val="00455E21"/>
    <w:pPr>
      <w:widowControl/>
      <w:suppressAutoHyphens w:val="0"/>
      <w:spacing w:before="100" w:beforeAutospacing="1" w:after="100" w:afterAutospacing="1"/>
    </w:pPr>
    <w:rPr>
      <w:rFonts w:eastAsia="Times New Roman"/>
      <w:kern w:val="0"/>
      <w:lang w:eastAsia="ru-RU"/>
    </w:rPr>
  </w:style>
  <w:style w:type="paragraph" w:customStyle="1" w:styleId="xl67">
    <w:name w:val="xl67"/>
    <w:basedOn w:val="a"/>
    <w:uiPriority w:val="99"/>
    <w:semiHidden/>
    <w:rsid w:val="00455E21"/>
    <w:pPr>
      <w:widowControl/>
      <w:suppressAutoHyphens w:val="0"/>
      <w:spacing w:before="100" w:beforeAutospacing="1" w:after="100" w:afterAutospacing="1"/>
    </w:pPr>
    <w:rPr>
      <w:rFonts w:ascii="Arial Narrow" w:eastAsia="Times New Roman" w:hAnsi="Arial Narrow"/>
      <w:kern w:val="0"/>
      <w:lang w:eastAsia="ru-RU"/>
    </w:rPr>
  </w:style>
  <w:style w:type="paragraph" w:customStyle="1" w:styleId="xl68">
    <w:name w:val="xl68"/>
    <w:basedOn w:val="a"/>
    <w:uiPriority w:val="99"/>
    <w:semiHidden/>
    <w:rsid w:val="00455E21"/>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69">
    <w:name w:val="xl69"/>
    <w:basedOn w:val="a"/>
    <w:uiPriority w:val="99"/>
    <w:semiHidden/>
    <w:rsid w:val="00455E2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0">
    <w:name w:val="xl70"/>
    <w:basedOn w:val="a"/>
    <w:uiPriority w:val="99"/>
    <w:semiHidden/>
    <w:rsid w:val="00455E2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eastAsia="Times New Roman" w:hAnsi="Arial Narrow"/>
      <w:kern w:val="0"/>
      <w:lang w:eastAsia="ru-RU"/>
    </w:rPr>
  </w:style>
  <w:style w:type="paragraph" w:customStyle="1" w:styleId="xl71">
    <w:name w:val="xl71"/>
    <w:basedOn w:val="a"/>
    <w:uiPriority w:val="99"/>
    <w:semiHidden/>
    <w:rsid w:val="00455E2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eastAsia="Times New Roman" w:hAnsi="Arial Narrow"/>
      <w:kern w:val="0"/>
      <w:lang w:eastAsia="ru-RU"/>
    </w:rPr>
  </w:style>
  <w:style w:type="paragraph" w:customStyle="1" w:styleId="xl72">
    <w:name w:val="xl72"/>
    <w:basedOn w:val="a"/>
    <w:uiPriority w:val="99"/>
    <w:semiHidden/>
    <w:rsid w:val="00455E2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73">
    <w:name w:val="xl73"/>
    <w:basedOn w:val="a"/>
    <w:uiPriority w:val="99"/>
    <w:semiHidden/>
    <w:rsid w:val="00455E21"/>
    <w:pPr>
      <w:widowControl/>
      <w:pBdr>
        <w:left w:val="single" w:sz="8" w:space="0" w:color="auto"/>
      </w:pBdr>
      <w:suppressAutoHyphens w:val="0"/>
      <w:spacing w:before="100" w:beforeAutospacing="1" w:after="100" w:afterAutospacing="1"/>
    </w:pPr>
    <w:rPr>
      <w:rFonts w:ascii="Arial Narrow" w:eastAsia="Times New Roman" w:hAnsi="Arial Narrow"/>
      <w:kern w:val="0"/>
      <w:lang w:eastAsia="ru-RU"/>
    </w:rPr>
  </w:style>
  <w:style w:type="paragraph" w:customStyle="1" w:styleId="xl74">
    <w:name w:val="xl74"/>
    <w:basedOn w:val="a"/>
    <w:uiPriority w:val="99"/>
    <w:semiHidden/>
    <w:rsid w:val="00455E21"/>
    <w:pPr>
      <w:widowControl/>
      <w:pBdr>
        <w:top w:val="single" w:sz="4" w:space="0" w:color="auto"/>
        <w:left w:val="single" w:sz="8"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5">
    <w:name w:val="xl75"/>
    <w:basedOn w:val="a"/>
    <w:uiPriority w:val="99"/>
    <w:semiHidden/>
    <w:rsid w:val="00455E21"/>
    <w:pPr>
      <w:widowControl/>
      <w:pBdr>
        <w:left w:val="single" w:sz="8"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6">
    <w:name w:val="xl76"/>
    <w:basedOn w:val="a"/>
    <w:uiPriority w:val="99"/>
    <w:semiHidden/>
    <w:rsid w:val="00455E21"/>
    <w:pPr>
      <w:widowControl/>
      <w:pBdr>
        <w:left w:val="single" w:sz="8"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7">
    <w:name w:val="xl77"/>
    <w:basedOn w:val="a"/>
    <w:uiPriority w:val="99"/>
    <w:semiHidden/>
    <w:rsid w:val="00455E21"/>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8">
    <w:name w:val="xl78"/>
    <w:basedOn w:val="a"/>
    <w:uiPriority w:val="99"/>
    <w:semiHidden/>
    <w:rsid w:val="00455E21"/>
    <w:pPr>
      <w:widowControl/>
      <w:pBdr>
        <w:left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79">
    <w:name w:val="xl79"/>
    <w:basedOn w:val="a"/>
    <w:uiPriority w:val="99"/>
    <w:semiHidden/>
    <w:rsid w:val="00455E21"/>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80">
    <w:name w:val="xl80"/>
    <w:basedOn w:val="a"/>
    <w:uiPriority w:val="99"/>
    <w:semiHidden/>
    <w:rsid w:val="00455E21"/>
    <w:pPr>
      <w:widowControl/>
      <w:suppressAutoHyphens w:val="0"/>
      <w:spacing w:before="100" w:beforeAutospacing="1" w:after="100" w:afterAutospacing="1"/>
    </w:pPr>
    <w:rPr>
      <w:rFonts w:ascii="Arial Narrow" w:eastAsia="Times New Roman" w:hAnsi="Arial Narrow"/>
      <w:kern w:val="0"/>
      <w:lang w:eastAsia="ru-RU"/>
    </w:rPr>
  </w:style>
  <w:style w:type="paragraph" w:customStyle="1" w:styleId="xl81">
    <w:name w:val="xl81"/>
    <w:basedOn w:val="a"/>
    <w:uiPriority w:val="99"/>
    <w:semiHidden/>
    <w:rsid w:val="00455E21"/>
    <w:pPr>
      <w:widowControl/>
      <w:pBdr>
        <w:top w:val="single" w:sz="4" w:space="0" w:color="auto"/>
        <w:lef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82">
    <w:name w:val="xl82"/>
    <w:basedOn w:val="a"/>
    <w:uiPriority w:val="99"/>
    <w:semiHidden/>
    <w:rsid w:val="00455E21"/>
    <w:pPr>
      <w:widowControl/>
      <w:pBdr>
        <w:left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83">
    <w:name w:val="xl83"/>
    <w:basedOn w:val="a"/>
    <w:uiPriority w:val="99"/>
    <w:semiHidden/>
    <w:rsid w:val="00455E21"/>
    <w:pPr>
      <w:widowControl/>
      <w:pBdr>
        <w:left w:val="single" w:sz="4" w:space="0" w:color="auto"/>
        <w:bottom w:val="single" w:sz="4" w:space="0" w:color="auto"/>
      </w:pBdr>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84">
    <w:name w:val="xl84"/>
    <w:basedOn w:val="a"/>
    <w:uiPriority w:val="99"/>
    <w:semiHidden/>
    <w:rsid w:val="00455E21"/>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Narrow" w:eastAsia="Times New Roman" w:hAnsi="Arial Narrow"/>
      <w:kern w:val="0"/>
      <w:lang w:eastAsia="ru-RU"/>
    </w:rPr>
  </w:style>
  <w:style w:type="paragraph" w:customStyle="1" w:styleId="xl85">
    <w:name w:val="xl85"/>
    <w:basedOn w:val="a"/>
    <w:uiPriority w:val="99"/>
    <w:semiHidden/>
    <w:rsid w:val="00455E21"/>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86">
    <w:name w:val="xl86"/>
    <w:basedOn w:val="a"/>
    <w:uiPriority w:val="99"/>
    <w:semiHidden/>
    <w:rsid w:val="00455E21"/>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Narrow" w:eastAsia="Times New Roman" w:hAnsi="Arial Narrow"/>
      <w:kern w:val="0"/>
      <w:lang w:eastAsia="ru-RU"/>
    </w:rPr>
  </w:style>
  <w:style w:type="paragraph" w:customStyle="1" w:styleId="xl87">
    <w:name w:val="xl87"/>
    <w:basedOn w:val="a"/>
    <w:uiPriority w:val="99"/>
    <w:semiHidden/>
    <w:rsid w:val="00455E21"/>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Narrow" w:eastAsia="Times New Roman" w:hAnsi="Arial Narrow"/>
      <w:kern w:val="0"/>
      <w:lang w:eastAsia="ru-RU"/>
    </w:rPr>
  </w:style>
  <w:style w:type="paragraph" w:customStyle="1" w:styleId="xl88">
    <w:name w:val="xl88"/>
    <w:basedOn w:val="a"/>
    <w:uiPriority w:val="99"/>
    <w:semiHidden/>
    <w:rsid w:val="00455E21"/>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89">
    <w:name w:val="xl89"/>
    <w:basedOn w:val="a"/>
    <w:uiPriority w:val="99"/>
    <w:semiHidden/>
    <w:rsid w:val="00455E21"/>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kern w:val="0"/>
      <w:lang w:eastAsia="ru-RU"/>
    </w:rPr>
  </w:style>
  <w:style w:type="paragraph" w:customStyle="1" w:styleId="xl90">
    <w:name w:val="xl90"/>
    <w:basedOn w:val="a"/>
    <w:uiPriority w:val="99"/>
    <w:semiHidden/>
    <w:rsid w:val="00455E21"/>
    <w:pPr>
      <w:widowControl/>
      <w:shd w:val="clear" w:color="auto" w:fill="FFFFFF"/>
      <w:suppressAutoHyphens w:val="0"/>
      <w:spacing w:before="100" w:beforeAutospacing="1" w:after="100" w:afterAutospacing="1"/>
    </w:pPr>
    <w:rPr>
      <w:rFonts w:ascii="Arial Narrow" w:eastAsia="Times New Roman" w:hAnsi="Arial Narrow"/>
      <w:kern w:val="0"/>
      <w:lang w:eastAsia="ru-RU"/>
    </w:rPr>
  </w:style>
  <w:style w:type="paragraph" w:customStyle="1" w:styleId="xl91">
    <w:name w:val="xl91"/>
    <w:basedOn w:val="a"/>
    <w:uiPriority w:val="99"/>
    <w:semiHidden/>
    <w:rsid w:val="00455E21"/>
    <w:pPr>
      <w:widowControl/>
      <w:shd w:val="clear" w:color="auto" w:fill="FFFFFF"/>
      <w:suppressAutoHyphens w:val="0"/>
      <w:spacing w:before="100" w:beforeAutospacing="1" w:after="100" w:afterAutospacing="1"/>
    </w:pPr>
    <w:rPr>
      <w:rFonts w:ascii="Arial Narrow" w:eastAsia="Times New Roman" w:hAnsi="Arial Narrow"/>
      <w:kern w:val="0"/>
      <w:lang w:eastAsia="ru-RU"/>
    </w:rPr>
  </w:style>
  <w:style w:type="paragraph" w:customStyle="1" w:styleId="xl92">
    <w:name w:val="xl92"/>
    <w:basedOn w:val="a"/>
    <w:uiPriority w:val="99"/>
    <w:semiHidden/>
    <w:rsid w:val="00455E21"/>
    <w:pPr>
      <w:widowControl/>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3">
    <w:name w:val="xl93"/>
    <w:basedOn w:val="a"/>
    <w:uiPriority w:val="99"/>
    <w:semiHidden/>
    <w:rsid w:val="00455E21"/>
    <w:pPr>
      <w:widowControl/>
      <w:pBdr>
        <w:left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4">
    <w:name w:val="xl94"/>
    <w:basedOn w:val="a"/>
    <w:uiPriority w:val="99"/>
    <w:semiHidden/>
    <w:rsid w:val="00455E21"/>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5">
    <w:name w:val="xl95"/>
    <w:basedOn w:val="a"/>
    <w:uiPriority w:val="99"/>
    <w:semiHidden/>
    <w:rsid w:val="00455E21"/>
    <w:pPr>
      <w:widowControl/>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6">
    <w:name w:val="xl96"/>
    <w:basedOn w:val="a"/>
    <w:uiPriority w:val="99"/>
    <w:semiHidden/>
    <w:rsid w:val="00455E21"/>
    <w:pPr>
      <w:widowControl/>
      <w:pBdr>
        <w:left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xl97">
    <w:name w:val="xl97"/>
    <w:basedOn w:val="a"/>
    <w:uiPriority w:val="99"/>
    <w:semiHidden/>
    <w:rsid w:val="00455E21"/>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Narrow" w:eastAsia="Times New Roman" w:hAnsi="Arial Narrow"/>
      <w:b/>
      <w:bCs/>
      <w:kern w:val="0"/>
      <w:lang w:eastAsia="ru-RU"/>
    </w:rPr>
  </w:style>
  <w:style w:type="paragraph" w:customStyle="1" w:styleId="font5">
    <w:name w:val="font5"/>
    <w:basedOn w:val="a"/>
    <w:uiPriority w:val="99"/>
    <w:semiHidden/>
    <w:rsid w:val="00455E21"/>
    <w:pPr>
      <w:widowControl/>
      <w:suppressAutoHyphens w:val="0"/>
      <w:spacing w:before="100" w:beforeAutospacing="1" w:after="100" w:afterAutospacing="1"/>
    </w:pPr>
    <w:rPr>
      <w:rFonts w:ascii="Arial Narrow" w:eastAsia="Times New Roman" w:hAnsi="Arial Narrow"/>
      <w:kern w:val="0"/>
      <w:sz w:val="20"/>
      <w:szCs w:val="20"/>
      <w:lang w:eastAsia="zh-CN"/>
    </w:rPr>
  </w:style>
  <w:style w:type="paragraph" w:customStyle="1" w:styleId="font6">
    <w:name w:val="font6"/>
    <w:basedOn w:val="a"/>
    <w:uiPriority w:val="99"/>
    <w:semiHidden/>
    <w:rsid w:val="00455E21"/>
    <w:pPr>
      <w:widowControl/>
      <w:suppressAutoHyphens w:val="0"/>
      <w:spacing w:before="100" w:beforeAutospacing="1" w:after="100" w:afterAutospacing="1"/>
    </w:pPr>
    <w:rPr>
      <w:rFonts w:ascii="Calibri" w:eastAsia="Times New Roman" w:hAnsi="Calibri" w:cs="Calibri"/>
      <w:kern w:val="0"/>
      <w:sz w:val="20"/>
      <w:szCs w:val="20"/>
      <w:lang w:eastAsia="zh-CN"/>
    </w:rPr>
  </w:style>
  <w:style w:type="character" w:customStyle="1" w:styleId="b-stopvehicle-name">
    <w:name w:val="b-stop__vehicle-name"/>
    <w:basedOn w:val="a0"/>
    <w:rsid w:val="00455E21"/>
  </w:style>
  <w:style w:type="character" w:customStyle="1" w:styleId="b-linkinner">
    <w:name w:val="b-link__inner"/>
    <w:basedOn w:val="a0"/>
    <w:rsid w:val="00455E21"/>
  </w:style>
  <w:style w:type="character" w:customStyle="1" w:styleId="b-route-segmentpoint-title">
    <w:name w:val="b-route-segment__point-title"/>
    <w:basedOn w:val="a0"/>
    <w:rsid w:val="00455E21"/>
  </w:style>
  <w:style w:type="character" w:customStyle="1" w:styleId="apple-converted-space">
    <w:name w:val="apple-converted-space"/>
    <w:basedOn w:val="a0"/>
    <w:rsid w:val="00455E21"/>
  </w:style>
  <w:style w:type="paragraph" w:customStyle="1" w:styleId="228bf8a64b8551e1msonormal">
    <w:name w:val="228bf8a64b8551e1msonormal"/>
    <w:basedOn w:val="a"/>
    <w:rsid w:val="009A210C"/>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2661">
      <w:bodyDiv w:val="1"/>
      <w:marLeft w:val="0"/>
      <w:marRight w:val="0"/>
      <w:marTop w:val="0"/>
      <w:marBottom w:val="0"/>
      <w:divBdr>
        <w:top w:val="none" w:sz="0" w:space="0" w:color="auto"/>
        <w:left w:val="none" w:sz="0" w:space="0" w:color="auto"/>
        <w:bottom w:val="none" w:sz="0" w:space="0" w:color="auto"/>
        <w:right w:val="none" w:sz="0" w:space="0" w:color="auto"/>
      </w:divBdr>
    </w:div>
    <w:div w:id="978614562">
      <w:bodyDiv w:val="1"/>
      <w:marLeft w:val="0"/>
      <w:marRight w:val="0"/>
      <w:marTop w:val="0"/>
      <w:marBottom w:val="0"/>
      <w:divBdr>
        <w:top w:val="none" w:sz="0" w:space="0" w:color="auto"/>
        <w:left w:val="none" w:sz="0" w:space="0" w:color="auto"/>
        <w:bottom w:val="none" w:sz="0" w:space="0" w:color="auto"/>
        <w:right w:val="none" w:sz="0" w:space="0" w:color="auto"/>
      </w:divBdr>
    </w:div>
    <w:div w:id="1349602576">
      <w:bodyDiv w:val="1"/>
      <w:marLeft w:val="0"/>
      <w:marRight w:val="0"/>
      <w:marTop w:val="0"/>
      <w:marBottom w:val="0"/>
      <w:divBdr>
        <w:top w:val="none" w:sz="0" w:space="0" w:color="auto"/>
        <w:left w:val="none" w:sz="0" w:space="0" w:color="auto"/>
        <w:bottom w:val="none" w:sz="0" w:space="0" w:color="auto"/>
        <w:right w:val="none" w:sz="0" w:space="0" w:color="auto"/>
      </w:divBdr>
    </w:div>
    <w:div w:id="1640843451">
      <w:bodyDiv w:val="1"/>
      <w:marLeft w:val="0"/>
      <w:marRight w:val="0"/>
      <w:marTop w:val="0"/>
      <w:marBottom w:val="0"/>
      <w:divBdr>
        <w:top w:val="none" w:sz="0" w:space="0" w:color="auto"/>
        <w:left w:val="none" w:sz="0" w:space="0" w:color="auto"/>
        <w:bottom w:val="none" w:sz="0" w:space="0" w:color="auto"/>
        <w:right w:val="none" w:sz="0" w:space="0" w:color="auto"/>
      </w:divBdr>
    </w:div>
    <w:div w:id="1883665138">
      <w:bodyDiv w:val="1"/>
      <w:marLeft w:val="0"/>
      <w:marRight w:val="0"/>
      <w:marTop w:val="0"/>
      <w:marBottom w:val="0"/>
      <w:divBdr>
        <w:top w:val="none" w:sz="0" w:space="0" w:color="auto"/>
        <w:left w:val="none" w:sz="0" w:space="0" w:color="auto"/>
        <w:bottom w:val="none" w:sz="0" w:space="0" w:color="auto"/>
        <w:right w:val="none" w:sz="0" w:space="0" w:color="auto"/>
      </w:divBdr>
    </w:div>
    <w:div w:id="19071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14</cp:revision>
  <dcterms:created xsi:type="dcterms:W3CDTF">2022-05-17T08:03:00Z</dcterms:created>
  <dcterms:modified xsi:type="dcterms:W3CDTF">2023-12-05T19:20:00Z</dcterms:modified>
</cp:coreProperties>
</file>